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99FAFC">
      <w:pPr>
        <w:pStyle w:val="12"/>
        <w:ind w:firstLine="360"/>
        <w:rPr>
          <w:rFonts w:hint="eastAsia"/>
          <w:sz w:val="40"/>
        </w:rPr>
      </w:pPr>
      <w:r>
        <w:rPr>
          <w:rFonts w:hint="eastAsia"/>
          <w:sz w:val="40"/>
        </w:rPr>
        <w:t>“课程名称”课程劳育教学案例样例</w:t>
      </w:r>
    </w:p>
    <w:p w14:paraId="073E553D">
      <w:pPr>
        <w:ind w:firstLine="560"/>
        <w:rPr>
          <w:rFonts w:hint="eastAsia" w:eastAsia="黑体"/>
          <w:bCs/>
          <w:kern w:val="44"/>
          <w:sz w:val="28"/>
          <w:szCs w:val="44"/>
        </w:rPr>
      </w:pPr>
    </w:p>
    <w:p w14:paraId="7D58C7C5">
      <w:pPr>
        <w:spacing w:line="520" w:lineRule="exact"/>
        <w:ind w:firstLine="560"/>
        <w:rPr>
          <w:rFonts w:hint="eastAsia" w:eastAsia="黑体"/>
          <w:bCs/>
          <w:kern w:val="44"/>
          <w:sz w:val="28"/>
          <w:szCs w:val="44"/>
        </w:rPr>
      </w:pPr>
      <w:r>
        <w:rPr>
          <w:rFonts w:hint="eastAsia" w:eastAsia="黑体"/>
          <w:bCs/>
          <w:kern w:val="44"/>
          <w:sz w:val="28"/>
          <w:szCs w:val="44"/>
        </w:rPr>
        <w:t>一、“课程名称”的专业教学体系与课程劳育教学目标</w:t>
      </w:r>
    </w:p>
    <w:p w14:paraId="51F4BCC3">
      <w:pPr>
        <w:spacing w:line="520" w:lineRule="exact"/>
        <w:ind w:firstLine="560"/>
        <w:rPr>
          <w:rFonts w:hint="eastAsia" w:eastAsia="楷体_GB2312" w:asciiTheme="majorHAnsi" w:hAnsiTheme="majorHAnsi" w:cstheme="majorBidi"/>
          <w:bCs/>
          <w:sz w:val="28"/>
          <w:szCs w:val="32"/>
        </w:rPr>
      </w:pPr>
      <w:r>
        <w:rPr>
          <w:rFonts w:hint="eastAsia" w:eastAsia="楷体_GB2312" w:asciiTheme="majorHAnsi" w:hAnsiTheme="majorHAnsi" w:cstheme="majorBidi"/>
          <w:bCs/>
          <w:sz w:val="28"/>
          <w:szCs w:val="32"/>
        </w:rPr>
        <w:t>1</w:t>
      </w:r>
      <w:r>
        <w:rPr>
          <w:rFonts w:eastAsia="楷体_GB2312" w:asciiTheme="majorHAnsi" w:hAnsiTheme="majorHAnsi" w:cstheme="majorBidi"/>
          <w:bCs/>
          <w:sz w:val="28"/>
          <w:szCs w:val="32"/>
        </w:rPr>
        <w:t>.</w:t>
      </w:r>
      <w:r>
        <w:rPr>
          <w:rFonts w:hint="eastAsia" w:eastAsia="楷体_GB2312" w:asciiTheme="majorHAnsi" w:hAnsiTheme="majorHAnsi" w:cstheme="majorBidi"/>
          <w:bCs/>
          <w:sz w:val="28"/>
          <w:szCs w:val="32"/>
        </w:rPr>
        <w:t>课程基本信息</w:t>
      </w:r>
    </w:p>
    <w:p w14:paraId="34FA69C5">
      <w:pPr>
        <w:spacing w:line="520" w:lineRule="exact"/>
        <w:ind w:firstLine="560"/>
        <w:rPr>
          <w:rFonts w:hint="eastAsia"/>
          <w:sz w:val="28"/>
        </w:rPr>
      </w:pPr>
      <w:r>
        <w:rPr>
          <w:rFonts w:hint="eastAsia"/>
          <w:sz w:val="28"/>
        </w:rPr>
        <w:t>课程名称：</w:t>
      </w:r>
    </w:p>
    <w:p w14:paraId="05B877BF">
      <w:pPr>
        <w:spacing w:line="520" w:lineRule="exact"/>
        <w:ind w:firstLine="560"/>
        <w:jc w:val="left"/>
        <w:rPr>
          <w:rFonts w:hint="eastAsia"/>
          <w:color w:val="FF0000"/>
          <w:sz w:val="28"/>
        </w:rPr>
      </w:pPr>
      <w:r>
        <w:rPr>
          <w:rFonts w:hint="eastAsia"/>
          <w:sz w:val="28"/>
        </w:rPr>
        <w:t>课程类型/性质：</w:t>
      </w:r>
      <w:r>
        <w:rPr>
          <w:rFonts w:hint="eastAsia"/>
          <w:color w:val="FF0000"/>
          <w:sz w:val="28"/>
        </w:rPr>
        <w:t>（劳动教育必修课程/劳动教育选修课程/公共课程/专业教育课程）</w:t>
      </w:r>
    </w:p>
    <w:p w14:paraId="10D69150">
      <w:pPr>
        <w:spacing w:line="520" w:lineRule="exact"/>
        <w:ind w:firstLine="560"/>
        <w:rPr>
          <w:rFonts w:hint="eastAsia"/>
          <w:sz w:val="28"/>
        </w:rPr>
      </w:pPr>
      <w:r>
        <w:rPr>
          <w:rFonts w:hint="eastAsia"/>
          <w:sz w:val="28"/>
        </w:rPr>
        <w:t>所属专业：</w:t>
      </w:r>
    </w:p>
    <w:p w14:paraId="12916303">
      <w:pPr>
        <w:spacing w:line="520" w:lineRule="exact"/>
        <w:ind w:firstLine="560"/>
        <w:rPr>
          <w:rFonts w:hint="eastAsia"/>
          <w:sz w:val="28"/>
        </w:rPr>
      </w:pPr>
      <w:r>
        <w:rPr>
          <w:rFonts w:hint="eastAsia"/>
          <w:sz w:val="28"/>
        </w:rPr>
        <w:t>授课年级：</w:t>
      </w:r>
    </w:p>
    <w:p w14:paraId="6E901F5D">
      <w:pPr>
        <w:spacing w:line="520" w:lineRule="exact"/>
        <w:ind w:firstLine="560"/>
        <w:rPr>
          <w:rFonts w:hint="eastAsia"/>
          <w:sz w:val="28"/>
        </w:rPr>
      </w:pPr>
      <w:r>
        <w:rPr>
          <w:rFonts w:hint="eastAsia"/>
          <w:sz w:val="28"/>
        </w:rPr>
        <w:t>适用学科：管理学</w:t>
      </w:r>
    </w:p>
    <w:p w14:paraId="2A10123F">
      <w:pPr>
        <w:spacing w:line="520" w:lineRule="exact"/>
        <w:ind w:firstLine="560"/>
        <w:rPr>
          <w:rFonts w:hint="eastAsia" w:eastAsia="楷体_GB2312" w:asciiTheme="majorHAnsi" w:hAnsiTheme="majorHAnsi" w:cstheme="majorBidi"/>
          <w:bCs/>
          <w:sz w:val="28"/>
          <w:szCs w:val="32"/>
        </w:rPr>
      </w:pPr>
      <w:r>
        <w:rPr>
          <w:rFonts w:eastAsia="楷体_GB2312" w:asciiTheme="majorHAnsi" w:hAnsiTheme="majorHAnsi" w:cstheme="majorBidi"/>
          <w:bCs/>
          <w:sz w:val="28"/>
          <w:szCs w:val="32"/>
        </w:rPr>
        <w:t>2.</w:t>
      </w:r>
      <w:r>
        <w:rPr>
          <w:rFonts w:hint="eastAsia" w:eastAsia="楷体_GB2312" w:asciiTheme="majorHAnsi" w:hAnsiTheme="majorHAnsi" w:cstheme="majorBidi"/>
          <w:bCs/>
          <w:sz w:val="28"/>
          <w:szCs w:val="32"/>
        </w:rPr>
        <w:t>课程概述</w:t>
      </w:r>
    </w:p>
    <w:p w14:paraId="4598BE3F">
      <w:pPr>
        <w:spacing w:line="520" w:lineRule="exact"/>
        <w:ind w:firstLine="560"/>
        <w:rPr>
          <w:rFonts w:hint="eastAsia"/>
          <w:sz w:val="28"/>
        </w:rPr>
      </w:pPr>
      <w:r>
        <w:rPr>
          <w:rFonts w:hint="eastAsia"/>
          <w:sz w:val="28"/>
        </w:rPr>
        <w:t>（可包含课程在所处专业教学体系中的地位，专业教学目标，课程教学结构及简要内容，课程</w:t>
      </w:r>
      <w:r>
        <w:rPr>
          <w:rFonts w:hint="eastAsia" w:ascii="仿宋" w:eastAsia="仿宋"/>
          <w:color w:val="000000" w:themeColor="text1"/>
          <w:kern w:val="0"/>
          <w:sz w:val="28"/>
          <w:szCs w:val="20"/>
        </w:rPr>
        <w:t>考核方式，预期教学效果及对人才培养目标的支撑等）</w:t>
      </w:r>
    </w:p>
    <w:p w14:paraId="0FC75C0B">
      <w:pPr>
        <w:spacing w:line="520" w:lineRule="exact"/>
        <w:ind w:firstLine="560"/>
        <w:rPr>
          <w:rFonts w:hint="eastAsia" w:eastAsia="楷体_GB2312" w:asciiTheme="majorHAnsi" w:hAnsiTheme="majorHAnsi" w:cstheme="majorBidi"/>
          <w:bCs/>
          <w:sz w:val="28"/>
          <w:szCs w:val="32"/>
        </w:rPr>
      </w:pPr>
      <w:r>
        <w:rPr>
          <w:rFonts w:hint="eastAsia" w:eastAsia="楷体_GB2312" w:asciiTheme="majorHAnsi" w:hAnsiTheme="majorHAnsi" w:cstheme="majorBidi"/>
          <w:bCs/>
          <w:sz w:val="28"/>
          <w:szCs w:val="32"/>
        </w:rPr>
        <w:t>3</w:t>
      </w:r>
      <w:r>
        <w:rPr>
          <w:rFonts w:eastAsia="楷体_GB2312" w:asciiTheme="majorHAnsi" w:hAnsiTheme="majorHAnsi" w:cstheme="majorBidi"/>
          <w:bCs/>
          <w:sz w:val="28"/>
          <w:szCs w:val="32"/>
        </w:rPr>
        <w:t>.</w:t>
      </w:r>
      <w:r>
        <w:rPr>
          <w:rFonts w:hint="eastAsia" w:eastAsia="楷体_GB2312" w:asciiTheme="majorHAnsi" w:hAnsiTheme="majorHAnsi" w:cstheme="majorBidi"/>
          <w:bCs/>
          <w:sz w:val="28"/>
          <w:szCs w:val="32"/>
        </w:rPr>
        <w:t>课程劳育目标及特征分析</w:t>
      </w:r>
    </w:p>
    <w:p w14:paraId="6E22CDB6">
      <w:pPr>
        <w:spacing w:line="520" w:lineRule="exact"/>
        <w:ind w:firstLine="560"/>
        <w:rPr>
          <w:rFonts w:hint="eastAsia"/>
          <w:sz w:val="28"/>
        </w:rPr>
      </w:pPr>
      <w:r>
        <w:rPr>
          <w:rFonts w:hint="eastAsia" w:ascii="仿宋" w:eastAsia="仿宋"/>
          <w:color w:val="000000" w:themeColor="text1"/>
          <w:kern w:val="0"/>
          <w:sz w:val="28"/>
          <w:szCs w:val="20"/>
        </w:rPr>
        <w:t>（主要阐述课程预期目标，着重分析其劳动教育目标及其特征）</w:t>
      </w:r>
    </w:p>
    <w:p w14:paraId="483AB667">
      <w:pPr>
        <w:spacing w:line="520" w:lineRule="exact"/>
        <w:ind w:firstLine="560"/>
        <w:rPr>
          <w:rFonts w:hint="eastAsia" w:eastAsia="楷体_GB2312" w:asciiTheme="majorHAnsi" w:hAnsiTheme="majorHAnsi" w:cstheme="majorBidi"/>
          <w:bCs/>
          <w:sz w:val="28"/>
          <w:szCs w:val="32"/>
        </w:rPr>
      </w:pPr>
      <w:r>
        <w:rPr>
          <w:rFonts w:hint="eastAsia" w:eastAsia="楷体_GB2312" w:asciiTheme="majorHAnsi" w:hAnsiTheme="majorHAnsi" w:cstheme="majorBidi"/>
          <w:bCs/>
          <w:sz w:val="28"/>
          <w:szCs w:val="32"/>
        </w:rPr>
        <w:t>4</w:t>
      </w:r>
      <w:r>
        <w:rPr>
          <w:rFonts w:eastAsia="楷体_GB2312" w:asciiTheme="majorHAnsi" w:hAnsiTheme="majorHAnsi" w:cstheme="majorBidi"/>
          <w:bCs/>
          <w:sz w:val="28"/>
          <w:szCs w:val="32"/>
        </w:rPr>
        <w:t>.</w:t>
      </w:r>
      <w:r>
        <w:rPr>
          <w:rFonts w:hint="eastAsia" w:eastAsia="楷体_GB2312" w:asciiTheme="majorHAnsi" w:hAnsiTheme="majorHAnsi" w:cstheme="majorBidi"/>
          <w:bCs/>
          <w:sz w:val="28"/>
          <w:szCs w:val="32"/>
        </w:rPr>
        <w:t>课程劳育环节设计</w:t>
      </w:r>
    </w:p>
    <w:p w14:paraId="0F746DDB">
      <w:pPr>
        <w:spacing w:line="520" w:lineRule="exact"/>
        <w:ind w:firstLine="560"/>
        <w:rPr>
          <w:rFonts w:hint="eastAsia"/>
          <w:sz w:val="28"/>
        </w:rPr>
      </w:pPr>
      <w:r>
        <w:rPr>
          <w:rFonts w:hint="eastAsia"/>
          <w:sz w:val="28"/>
        </w:rPr>
        <w:t>（呈现整门课程劳动教育环节及案例设计，可采用文字描述+图表的方式）</w:t>
      </w:r>
    </w:p>
    <w:p w14:paraId="00A71546">
      <w:pPr>
        <w:spacing w:line="520" w:lineRule="exact"/>
        <w:ind w:firstLine="560"/>
        <w:rPr>
          <w:rFonts w:hint="eastAsia" w:eastAsia="黑体"/>
          <w:bCs/>
          <w:kern w:val="44"/>
          <w:sz w:val="28"/>
          <w:szCs w:val="44"/>
        </w:rPr>
      </w:pPr>
      <w:r>
        <w:rPr>
          <w:rFonts w:hint="eastAsia" w:eastAsia="黑体"/>
          <w:bCs/>
          <w:kern w:val="44"/>
          <w:sz w:val="28"/>
          <w:szCs w:val="44"/>
        </w:rPr>
        <w:t>二、课程劳育教学案例设计</w:t>
      </w:r>
    </w:p>
    <w:p w14:paraId="24E7C013">
      <w:pPr>
        <w:spacing w:line="520" w:lineRule="exact"/>
        <w:ind w:firstLine="560"/>
        <w:rPr>
          <w:rFonts w:hint="eastAsia"/>
          <w:sz w:val="28"/>
        </w:rPr>
      </w:pPr>
      <w:r>
        <w:rPr>
          <w:sz w:val="28"/>
        </w:rPr>
        <w:t>1.</w:t>
      </w:r>
      <w:r>
        <w:rPr>
          <w:rFonts w:hint="eastAsia"/>
          <w:sz w:val="28"/>
        </w:rPr>
        <w:t>相关知识板块与蕴含的劳育元素分析</w:t>
      </w:r>
    </w:p>
    <w:p w14:paraId="69C061BB">
      <w:pPr>
        <w:spacing w:line="520" w:lineRule="exact"/>
        <w:ind w:firstLine="560"/>
        <w:rPr>
          <w:rFonts w:hint="eastAsia"/>
          <w:sz w:val="28"/>
        </w:rPr>
      </w:pPr>
      <w:r>
        <w:rPr>
          <w:sz w:val="28"/>
        </w:rPr>
        <w:t>2.</w:t>
      </w:r>
      <w:r>
        <w:rPr>
          <w:rFonts w:hint="eastAsia"/>
          <w:sz w:val="28"/>
        </w:rPr>
        <w:t>课程劳育教学策略实例</w:t>
      </w:r>
    </w:p>
    <w:p w14:paraId="14723D8F">
      <w:pPr>
        <w:spacing w:line="520" w:lineRule="exact"/>
        <w:ind w:firstLine="560"/>
        <w:rPr>
          <w:rFonts w:hint="eastAsia"/>
          <w:sz w:val="28"/>
        </w:rPr>
      </w:pPr>
      <w:r>
        <w:rPr>
          <w:sz w:val="28"/>
        </w:rPr>
        <w:t>3</w:t>
      </w:r>
      <w:r>
        <w:rPr>
          <w:rFonts w:hint="eastAsia"/>
          <w:sz w:val="28"/>
        </w:rPr>
        <w:t>.教学方法与手段</w:t>
      </w:r>
    </w:p>
    <w:p w14:paraId="7DB0410E">
      <w:pPr>
        <w:spacing w:line="520" w:lineRule="exact"/>
        <w:ind w:firstLine="560"/>
        <w:rPr>
          <w:rFonts w:hint="eastAsia"/>
          <w:sz w:val="28"/>
        </w:rPr>
      </w:pPr>
      <w:r>
        <w:rPr>
          <w:rFonts w:hint="eastAsia"/>
          <w:sz w:val="28"/>
        </w:rPr>
        <w:t>4</w:t>
      </w:r>
      <w:r>
        <w:rPr>
          <w:sz w:val="28"/>
        </w:rPr>
        <w:t>.</w:t>
      </w:r>
      <w:r>
        <w:rPr>
          <w:rFonts w:hint="eastAsia"/>
          <w:sz w:val="28"/>
        </w:rPr>
        <w:t>教学过程</w:t>
      </w:r>
    </w:p>
    <w:p w14:paraId="6DBCB96F">
      <w:pPr>
        <w:spacing w:line="520" w:lineRule="exact"/>
        <w:ind w:firstLine="560"/>
        <w:rPr>
          <w:rFonts w:hint="eastAsia"/>
          <w:sz w:val="28"/>
        </w:rPr>
      </w:pPr>
      <w:r>
        <w:rPr>
          <w:rFonts w:hint="eastAsia"/>
          <w:sz w:val="28"/>
        </w:rPr>
        <w:t>5</w:t>
      </w:r>
      <w:r>
        <w:rPr>
          <w:sz w:val="28"/>
        </w:rPr>
        <w:t>.</w:t>
      </w:r>
      <w:r>
        <w:rPr>
          <w:rFonts w:hint="eastAsia"/>
          <w:sz w:val="28"/>
        </w:rPr>
        <w:t>教学效果分析</w:t>
      </w:r>
    </w:p>
    <w:p w14:paraId="7C22C132">
      <w:pPr>
        <w:spacing w:line="520" w:lineRule="exact"/>
        <w:ind w:firstLine="560"/>
        <w:rPr>
          <w:rFonts w:hint="eastAsia"/>
          <w:sz w:val="28"/>
        </w:rPr>
      </w:pPr>
      <w:r>
        <w:rPr>
          <w:rFonts w:hint="eastAsia"/>
          <w:sz w:val="28"/>
        </w:rPr>
        <w:t>……</w:t>
      </w:r>
    </w:p>
    <w:p w14:paraId="5C5A8E54">
      <w:pPr>
        <w:spacing w:line="520" w:lineRule="exact"/>
        <w:ind w:firstLine="560"/>
        <w:rPr>
          <w:rFonts w:hint="eastAsia"/>
          <w:sz w:val="28"/>
        </w:rPr>
      </w:pPr>
      <w:r>
        <w:rPr>
          <w:rFonts w:hint="eastAsia"/>
          <w:sz w:val="28"/>
        </w:rPr>
        <w:t>以上模板供参考，可根据学科专业具体情况适当调整，尽量图文并茂，附加相关教学图片、视频等资料。</w:t>
      </w:r>
    </w:p>
    <w:p w14:paraId="19130D67">
      <w:pPr>
        <w:spacing w:line="520" w:lineRule="exact"/>
        <w:ind w:firstLine="560"/>
        <w:rPr>
          <w:rFonts w:hint="eastAsia"/>
          <w:sz w:val="28"/>
        </w:rPr>
      </w:pPr>
    </w:p>
    <w:p w14:paraId="0AF5D694">
      <w:pPr>
        <w:spacing w:line="520" w:lineRule="exact"/>
        <w:ind w:firstLine="562"/>
        <w:rPr>
          <w:rFonts w:hint="eastAsia"/>
          <w:b/>
          <w:color w:val="FF0000"/>
          <w:sz w:val="28"/>
        </w:rPr>
      </w:pPr>
      <w:r>
        <w:rPr>
          <w:rFonts w:hint="eastAsia"/>
          <w:b/>
          <w:color w:val="FF0000"/>
          <w:sz w:val="28"/>
        </w:rPr>
        <w:t>参考劳动教育教学案例申报书</w:t>
      </w:r>
    </w:p>
    <w:p w14:paraId="14359B0C">
      <w:pPr>
        <w:spacing w:line="520" w:lineRule="exact"/>
        <w:ind w:firstLine="562"/>
        <w:rPr>
          <w:rFonts w:hint="eastAsia"/>
          <w:b/>
          <w:color w:val="FF0000"/>
          <w:sz w:val="28"/>
        </w:rPr>
      </w:pPr>
    </w:p>
    <w:p w14:paraId="6789E66F">
      <w:pPr>
        <w:spacing w:line="520" w:lineRule="exact"/>
        <w:ind w:firstLine="562"/>
        <w:rPr>
          <w:rFonts w:hint="eastAsia"/>
          <w:b/>
          <w:color w:val="FF0000"/>
          <w:sz w:val="28"/>
        </w:rPr>
      </w:pPr>
    </w:p>
    <w:p w14:paraId="305A30AD">
      <w:pPr>
        <w:spacing w:line="520" w:lineRule="exact"/>
        <w:ind w:firstLine="562"/>
        <w:rPr>
          <w:rFonts w:hint="eastAsia"/>
          <w:b/>
          <w:color w:val="FF0000"/>
          <w:sz w:val="28"/>
        </w:rPr>
      </w:pPr>
    </w:p>
    <w:p w14:paraId="0F0A3C76">
      <w:pPr>
        <w:spacing w:line="520" w:lineRule="exact"/>
        <w:ind w:firstLine="562"/>
        <w:rPr>
          <w:rFonts w:hint="eastAsia"/>
          <w:b/>
          <w:color w:val="FF0000"/>
          <w:sz w:val="28"/>
        </w:rPr>
      </w:pPr>
    </w:p>
    <w:p w14:paraId="16BE25A7">
      <w:pPr>
        <w:spacing w:line="520" w:lineRule="exact"/>
        <w:ind w:firstLine="562"/>
        <w:rPr>
          <w:rFonts w:hint="eastAsia"/>
          <w:b/>
          <w:color w:val="FF0000"/>
          <w:sz w:val="28"/>
        </w:rPr>
      </w:pPr>
    </w:p>
    <w:p w14:paraId="17B746A5">
      <w:pPr>
        <w:spacing w:line="520" w:lineRule="exact"/>
        <w:ind w:firstLine="562"/>
        <w:rPr>
          <w:rFonts w:hint="eastAsia"/>
          <w:b/>
          <w:color w:val="FF0000"/>
          <w:sz w:val="28"/>
        </w:rPr>
      </w:pPr>
    </w:p>
    <w:p w14:paraId="6D1DECA6">
      <w:pPr>
        <w:spacing w:line="520" w:lineRule="exact"/>
        <w:ind w:firstLine="562"/>
        <w:rPr>
          <w:rFonts w:hint="eastAsia"/>
          <w:b/>
          <w:color w:val="FF0000"/>
          <w:sz w:val="28"/>
        </w:rPr>
      </w:pPr>
    </w:p>
    <w:p w14:paraId="300C8BCD">
      <w:pPr>
        <w:spacing w:line="520" w:lineRule="exact"/>
        <w:ind w:firstLine="562"/>
        <w:rPr>
          <w:rFonts w:hint="eastAsia"/>
          <w:b/>
          <w:color w:val="FF0000"/>
          <w:sz w:val="28"/>
        </w:rPr>
      </w:pPr>
    </w:p>
    <w:p w14:paraId="6C5BF5BC">
      <w:pPr>
        <w:spacing w:line="520" w:lineRule="exact"/>
        <w:ind w:firstLine="562"/>
        <w:rPr>
          <w:rFonts w:hint="eastAsia"/>
          <w:b/>
          <w:color w:val="FF0000"/>
          <w:sz w:val="28"/>
        </w:rPr>
      </w:pPr>
    </w:p>
    <w:p w14:paraId="1EEF2B54">
      <w:pPr>
        <w:spacing w:line="520" w:lineRule="exact"/>
        <w:ind w:firstLine="562"/>
        <w:rPr>
          <w:rFonts w:hint="eastAsia"/>
          <w:b/>
          <w:color w:val="FF0000"/>
          <w:sz w:val="28"/>
        </w:rPr>
      </w:pPr>
    </w:p>
    <w:p w14:paraId="585DFD12">
      <w:pPr>
        <w:spacing w:line="520" w:lineRule="exact"/>
        <w:ind w:firstLine="562"/>
        <w:rPr>
          <w:rFonts w:hint="eastAsia"/>
          <w:b/>
          <w:color w:val="FF0000"/>
          <w:sz w:val="28"/>
        </w:rPr>
      </w:pPr>
    </w:p>
    <w:p w14:paraId="28C2874A">
      <w:pPr>
        <w:spacing w:line="520" w:lineRule="exact"/>
        <w:ind w:firstLine="562"/>
        <w:rPr>
          <w:rFonts w:hint="eastAsia"/>
          <w:b/>
          <w:color w:val="FF0000"/>
          <w:sz w:val="28"/>
        </w:rPr>
      </w:pPr>
    </w:p>
    <w:p w14:paraId="49CCDD00">
      <w:pPr>
        <w:spacing w:line="520" w:lineRule="exact"/>
        <w:ind w:firstLine="562"/>
        <w:rPr>
          <w:rFonts w:hint="eastAsia"/>
          <w:b/>
          <w:color w:val="FF0000"/>
          <w:sz w:val="28"/>
        </w:rPr>
      </w:pPr>
    </w:p>
    <w:p w14:paraId="53472EE7">
      <w:pPr>
        <w:spacing w:line="520" w:lineRule="exact"/>
        <w:ind w:firstLine="562"/>
        <w:rPr>
          <w:rFonts w:hint="eastAsia"/>
          <w:b/>
          <w:color w:val="FF0000"/>
          <w:sz w:val="28"/>
        </w:rPr>
      </w:pPr>
    </w:p>
    <w:p w14:paraId="6CDF2EF4">
      <w:pPr>
        <w:spacing w:line="520" w:lineRule="exact"/>
        <w:ind w:firstLine="562"/>
        <w:rPr>
          <w:rFonts w:hint="eastAsia"/>
          <w:b/>
          <w:color w:val="FF0000"/>
          <w:sz w:val="28"/>
        </w:rPr>
      </w:pPr>
    </w:p>
    <w:p w14:paraId="49193B14">
      <w:pPr>
        <w:spacing w:line="520" w:lineRule="exact"/>
        <w:ind w:firstLine="562"/>
        <w:rPr>
          <w:rFonts w:hint="eastAsia"/>
          <w:b/>
          <w:color w:val="FF0000"/>
          <w:sz w:val="28"/>
        </w:rPr>
      </w:pPr>
    </w:p>
    <w:p w14:paraId="67FC5298">
      <w:pPr>
        <w:spacing w:line="520" w:lineRule="exact"/>
        <w:ind w:firstLine="562"/>
        <w:rPr>
          <w:rFonts w:hint="eastAsia"/>
          <w:b/>
          <w:color w:val="FF0000"/>
          <w:sz w:val="28"/>
        </w:rPr>
      </w:pPr>
    </w:p>
    <w:p w14:paraId="55F97360">
      <w:pPr>
        <w:spacing w:line="520" w:lineRule="exact"/>
        <w:ind w:firstLine="562"/>
        <w:rPr>
          <w:rFonts w:hint="eastAsia"/>
          <w:b/>
          <w:color w:val="FF0000"/>
          <w:sz w:val="28"/>
        </w:rPr>
      </w:pPr>
    </w:p>
    <w:p w14:paraId="5DCC01C4">
      <w:pPr>
        <w:spacing w:line="520" w:lineRule="exact"/>
        <w:ind w:firstLine="562"/>
        <w:rPr>
          <w:rFonts w:hint="eastAsia"/>
          <w:b/>
          <w:color w:val="FF0000"/>
          <w:sz w:val="28"/>
        </w:rPr>
      </w:pPr>
    </w:p>
    <w:p w14:paraId="766C9883">
      <w:pPr>
        <w:spacing w:line="520" w:lineRule="exact"/>
        <w:ind w:firstLine="562"/>
        <w:rPr>
          <w:rFonts w:hint="eastAsia"/>
          <w:b/>
          <w:color w:val="FF0000"/>
          <w:sz w:val="28"/>
        </w:rPr>
      </w:pPr>
    </w:p>
    <w:p w14:paraId="3F23D167">
      <w:pPr>
        <w:spacing w:line="520" w:lineRule="exact"/>
        <w:ind w:firstLine="562"/>
        <w:rPr>
          <w:rFonts w:hint="eastAsia"/>
          <w:b/>
          <w:color w:val="FF0000"/>
          <w:sz w:val="28"/>
        </w:rPr>
      </w:pPr>
    </w:p>
    <w:p w14:paraId="5C2520FA">
      <w:pPr>
        <w:spacing w:line="520" w:lineRule="exact"/>
        <w:ind w:firstLine="562"/>
        <w:rPr>
          <w:rFonts w:hint="eastAsia"/>
          <w:b/>
          <w:color w:val="FF0000"/>
          <w:sz w:val="28"/>
        </w:rPr>
      </w:pPr>
    </w:p>
    <w:p w14:paraId="373B7D85">
      <w:pPr>
        <w:spacing w:line="520" w:lineRule="exact"/>
        <w:ind w:firstLine="643"/>
        <w:rPr>
          <w:rFonts w:hint="eastAsia" w:ascii="黑体"/>
          <w:b/>
          <w:sz w:val="28"/>
          <w:szCs w:val="24"/>
        </w:rPr>
      </w:pPr>
      <w:bookmarkStart w:id="0" w:name="_GoBack"/>
      <w:bookmarkEnd w:id="0"/>
      <w:r>
        <w:rPr>
          <w:rFonts w:hint="eastAsia" w:ascii="黑体"/>
          <w:b/>
          <w:sz w:val="28"/>
          <w:szCs w:val="24"/>
        </w:rPr>
        <w:t>案例一：中国古代劳动人民伟大的治水智慧</w:t>
      </w:r>
    </w:p>
    <w:p w14:paraId="004B2A44">
      <w:pPr>
        <w:pStyle w:val="2"/>
        <w:adjustRightInd w:val="0"/>
        <w:snapToGrid w:val="0"/>
        <w:spacing w:line="560" w:lineRule="exact"/>
        <w:ind w:left="1765" w:firstLine="0" w:firstLineChars="0"/>
        <w:jc w:val="center"/>
        <w:rPr>
          <w:rFonts w:hint="eastAsia" w:ascii="黑体"/>
          <w:b/>
          <w:sz w:val="28"/>
          <w:szCs w:val="24"/>
        </w:rPr>
      </w:pPr>
      <w:r>
        <w:rPr>
          <w:rFonts w:hint="eastAsia" w:ascii="黑体"/>
          <w:b/>
          <w:sz w:val="28"/>
          <w:szCs w:val="24"/>
        </w:rPr>
        <w:t>——《天下长河》中的人才甄选与职业生涯规划</w:t>
      </w:r>
    </w:p>
    <w:p w14:paraId="5EA12919">
      <w:pPr>
        <w:pStyle w:val="3"/>
        <w:spacing w:line="560" w:lineRule="exact"/>
        <w:ind w:firstLine="480"/>
        <w:rPr>
          <w:rFonts w:hint="eastAsia" w:ascii="黑体" w:eastAsia="黑体"/>
          <w:sz w:val="24"/>
          <w:szCs w:val="24"/>
        </w:rPr>
      </w:pPr>
      <w:r>
        <w:rPr>
          <w:rFonts w:hint="eastAsia" w:ascii="黑体" w:eastAsia="黑体"/>
          <w:sz w:val="24"/>
          <w:szCs w:val="24"/>
        </w:rPr>
        <w:t>一、依托课程简介</w:t>
      </w:r>
    </w:p>
    <w:p w14:paraId="67B29F57">
      <w:pPr>
        <w:pStyle w:val="4"/>
        <w:spacing w:before="0" w:after="0" w:line="560" w:lineRule="exact"/>
        <w:ind w:firstLine="438"/>
        <w:rPr>
          <w:rFonts w:hint="eastAsia" w:ascii="楷体_GB2312" w:hAnsi="楷体_GB2312" w:eastAsia="楷体_GB2312" w:cs="楷体_GB2312"/>
          <w:b/>
          <w:bCs w:val="0"/>
          <w:spacing w:val="-11"/>
          <w:sz w:val="24"/>
          <w:szCs w:val="28"/>
        </w:rPr>
      </w:pPr>
      <w:r>
        <w:rPr>
          <w:rFonts w:hint="eastAsia" w:ascii="楷体_GB2312" w:hAnsi="楷体_GB2312" w:eastAsia="楷体_GB2312" w:cs="楷体_GB2312"/>
          <w:b/>
          <w:bCs w:val="0"/>
          <w:spacing w:val="-11"/>
          <w:sz w:val="24"/>
          <w:szCs w:val="28"/>
        </w:rPr>
        <w:t>（一）</w:t>
      </w:r>
      <w:r>
        <w:rPr>
          <w:rFonts w:hint="eastAsia" w:ascii="楷体_GB2312" w:hAnsi="楷体_GB2312" w:eastAsia="楷体_GB2312" w:cs="楷体_GB2312"/>
          <w:b/>
          <w:spacing w:val="-11"/>
          <w:sz w:val="24"/>
          <w:szCs w:val="28"/>
        </w:rPr>
        <w:t>课程基本信息</w:t>
      </w:r>
    </w:p>
    <w:p w14:paraId="4A97AD1D">
      <w:pPr>
        <w:spacing w:line="560" w:lineRule="exact"/>
        <w:ind w:firstLine="480"/>
        <w:rPr>
          <w:rFonts w:hint="eastAsia"/>
          <w:sz w:val="24"/>
          <w:szCs w:val="28"/>
        </w:rPr>
      </w:pPr>
      <w:r>
        <w:rPr>
          <w:rFonts w:hint="eastAsia"/>
          <w:sz w:val="24"/>
          <w:szCs w:val="28"/>
        </w:rPr>
        <w:t>课程名称：人力资源管理</w:t>
      </w:r>
    </w:p>
    <w:p w14:paraId="37D90994">
      <w:pPr>
        <w:spacing w:line="560" w:lineRule="exact"/>
        <w:ind w:firstLine="480"/>
        <w:rPr>
          <w:rFonts w:hint="eastAsia"/>
          <w:sz w:val="24"/>
          <w:szCs w:val="28"/>
        </w:rPr>
      </w:pPr>
      <w:r>
        <w:rPr>
          <w:rFonts w:hint="eastAsia"/>
          <w:sz w:val="24"/>
          <w:szCs w:val="28"/>
        </w:rPr>
        <w:t>课程类型（性质）：专业教育课程</w:t>
      </w:r>
    </w:p>
    <w:p w14:paraId="1C5136A7">
      <w:pPr>
        <w:spacing w:line="560" w:lineRule="exact"/>
        <w:ind w:firstLine="480"/>
        <w:rPr>
          <w:rFonts w:hint="eastAsia"/>
          <w:sz w:val="24"/>
          <w:szCs w:val="28"/>
        </w:rPr>
      </w:pPr>
      <w:r>
        <w:rPr>
          <w:rFonts w:hint="eastAsia"/>
          <w:sz w:val="24"/>
          <w:szCs w:val="28"/>
        </w:rPr>
        <w:t>适用学科专业：管理学</w:t>
      </w:r>
    </w:p>
    <w:p w14:paraId="72AA6DDF">
      <w:pPr>
        <w:pStyle w:val="4"/>
        <w:spacing w:before="0" w:after="0" w:line="560" w:lineRule="exact"/>
        <w:ind w:firstLine="438"/>
        <w:rPr>
          <w:rFonts w:hint="eastAsia" w:ascii="楷体_GB2312" w:hAnsi="楷体_GB2312" w:eastAsia="楷体_GB2312" w:cs="楷体_GB2312"/>
          <w:b/>
          <w:bCs w:val="0"/>
          <w:color w:val="FF0000"/>
          <w:spacing w:val="-11"/>
          <w:sz w:val="24"/>
          <w:szCs w:val="28"/>
        </w:rPr>
      </w:pPr>
      <w:r>
        <w:rPr>
          <w:rFonts w:hint="eastAsia" w:ascii="楷体_GB2312" w:hAnsi="楷体_GB2312" w:eastAsia="楷体_GB2312" w:cs="楷体_GB2312"/>
          <w:b/>
          <w:bCs w:val="0"/>
          <w:spacing w:val="-11"/>
          <w:sz w:val="24"/>
          <w:szCs w:val="28"/>
        </w:rPr>
        <w:t>（二）课程概况</w:t>
      </w:r>
    </w:p>
    <w:p w14:paraId="0F45EF9D">
      <w:pPr>
        <w:spacing w:line="560" w:lineRule="exact"/>
        <w:ind w:firstLine="480"/>
        <w:rPr>
          <w:rFonts w:hint="eastAsia"/>
          <w:sz w:val="24"/>
          <w:szCs w:val="28"/>
        </w:rPr>
      </w:pPr>
      <w:r>
        <w:rPr>
          <w:rFonts w:hint="eastAsia"/>
          <w:sz w:val="24"/>
          <w:szCs w:val="28"/>
        </w:rPr>
        <w:t>《人力资源管理》</w:t>
      </w:r>
      <w:r>
        <w:rPr>
          <w:sz w:val="24"/>
          <w:szCs w:val="28"/>
        </w:rPr>
        <w:t>课程</w:t>
      </w:r>
      <w:r>
        <w:rPr>
          <w:rFonts w:hint="eastAsia"/>
          <w:sz w:val="24"/>
          <w:szCs w:val="28"/>
        </w:rPr>
        <w:t>围绕学生面向未来的人力资源管理职业能力，构建基于职业核心素养的混合式课程教学模式，</w:t>
      </w:r>
      <w:r>
        <w:rPr>
          <w:sz w:val="24"/>
          <w:szCs w:val="28"/>
        </w:rPr>
        <w:t>以新时代习近平中国特色社会主义思想为指导思想，</w:t>
      </w:r>
      <w:r>
        <w:rPr>
          <w:rFonts w:hint="eastAsia"/>
          <w:sz w:val="24"/>
          <w:szCs w:val="28"/>
        </w:rPr>
        <w:t>注重精神引领，将黄河重大国家战略融入课堂主线，探索“三阶段四角度五步骤”课程思政育人体系，课程内容融入“人才强国战略思维、劳动者视角感知、职业价值理念度量、新时代工匠精神与企业家精神弘扬”思政融入，共促知识与价值内化，实现立德树人目标。</w:t>
      </w:r>
    </w:p>
    <w:p w14:paraId="09060738">
      <w:pPr>
        <w:pStyle w:val="4"/>
        <w:spacing w:before="0" w:after="0" w:line="560" w:lineRule="exact"/>
        <w:ind w:firstLine="438"/>
        <w:rPr>
          <w:rFonts w:hint="eastAsia" w:ascii="楷体_GB2312" w:hAnsi="楷体_GB2312" w:eastAsia="楷体_GB2312" w:cs="楷体_GB2312"/>
          <w:b/>
          <w:color w:val="FF0000"/>
          <w:spacing w:val="-11"/>
          <w:sz w:val="24"/>
          <w:szCs w:val="28"/>
        </w:rPr>
      </w:pPr>
      <w:r>
        <w:rPr>
          <w:rFonts w:hint="eastAsia" w:ascii="楷体_GB2312" w:hAnsi="楷体_GB2312" w:eastAsia="楷体_GB2312" w:cs="楷体_GB2312"/>
          <w:b/>
          <w:spacing w:val="-11"/>
          <w:sz w:val="24"/>
          <w:szCs w:val="28"/>
        </w:rPr>
        <w:t>（三）课程预期目标（含劳动教育目标）</w:t>
      </w:r>
      <w:r>
        <w:rPr>
          <w:rFonts w:hint="eastAsia" w:ascii="楷体_GB2312" w:hAnsi="楷体_GB2312" w:eastAsia="楷体_GB2312" w:cs="楷体_GB2312"/>
          <w:b/>
          <w:color w:val="FF0000"/>
          <w:spacing w:val="-11"/>
          <w:sz w:val="24"/>
          <w:szCs w:val="28"/>
        </w:rPr>
        <w:t>（修改为：课程劳育目标及特征分析）</w:t>
      </w:r>
    </w:p>
    <w:p w14:paraId="474FB720">
      <w:pPr>
        <w:spacing w:line="560" w:lineRule="exact"/>
        <w:ind w:firstLine="480"/>
        <w:rPr>
          <w:rFonts w:hint="eastAsia"/>
          <w:sz w:val="24"/>
          <w:szCs w:val="28"/>
        </w:rPr>
      </w:pPr>
      <w:r>
        <w:rPr>
          <w:sz w:val="24"/>
          <w:szCs w:val="28"/>
        </w:rPr>
        <w:t>本课程以实现知识、能力、价值三层面的教学目标为原则，</w:t>
      </w:r>
      <w:r>
        <w:rPr>
          <w:rFonts w:hint="eastAsia"/>
          <w:sz w:val="24"/>
          <w:szCs w:val="28"/>
        </w:rPr>
        <w:t>围绕学生面向未来的人力资源管理职业能力，构建基于人力资源管理职业核心素养的混合式课程教学模式，注重精神引领，</w:t>
      </w:r>
      <w:r>
        <w:rPr>
          <w:sz w:val="24"/>
          <w:szCs w:val="28"/>
        </w:rPr>
        <w:t>以新时代习近平中国特色社会主义思想为指导思想，充分发挥课堂教学主渠道作用</w:t>
      </w:r>
      <w:r>
        <w:rPr>
          <w:rFonts w:hint="eastAsia"/>
          <w:sz w:val="24"/>
          <w:szCs w:val="28"/>
        </w:rPr>
        <w:t>。</w:t>
      </w:r>
    </w:p>
    <w:p w14:paraId="583120EA">
      <w:pPr>
        <w:spacing w:line="560" w:lineRule="exact"/>
        <w:ind w:firstLine="480"/>
        <w:rPr>
          <w:rFonts w:hint="eastAsia"/>
          <w:sz w:val="24"/>
          <w:szCs w:val="28"/>
        </w:rPr>
      </w:pPr>
      <w:r>
        <w:rPr>
          <w:rFonts w:hint="eastAsia"/>
          <w:sz w:val="24"/>
          <w:szCs w:val="28"/>
        </w:rPr>
        <w:t>知识目标：熟悉互联网思维人力资源管理技能的理论体系，具备人力资源管理各模块概念框架、流程设计、管理工具应用等知识。</w:t>
      </w:r>
    </w:p>
    <w:p w14:paraId="6FC88620">
      <w:pPr>
        <w:spacing w:line="560" w:lineRule="exact"/>
        <w:ind w:firstLine="480"/>
        <w:rPr>
          <w:rFonts w:hint="eastAsia"/>
          <w:sz w:val="24"/>
          <w:szCs w:val="28"/>
        </w:rPr>
      </w:pPr>
      <w:r>
        <w:rPr>
          <w:rFonts w:hint="eastAsia"/>
          <w:sz w:val="24"/>
          <w:szCs w:val="28"/>
        </w:rPr>
        <w:t xml:space="preserve">能力目标：掌握互联网思维人力资源管理基层管理岗位综合管理技能，符合人力资源从业任职能力要求、人力资源数字化平台应用能力，了解中国式人力资源管理实践。 </w:t>
      </w:r>
    </w:p>
    <w:p w14:paraId="7ACE60A6">
      <w:pPr>
        <w:spacing w:line="560" w:lineRule="exact"/>
        <w:ind w:firstLine="480"/>
        <w:rPr>
          <w:rFonts w:hint="eastAsia"/>
          <w:sz w:val="24"/>
          <w:szCs w:val="28"/>
        </w:rPr>
      </w:pPr>
      <w:r>
        <w:rPr>
          <w:rFonts w:hint="eastAsia"/>
          <w:sz w:val="24"/>
          <w:szCs w:val="28"/>
        </w:rPr>
        <w:t>素质目标：具备人力资源战略性思维，树立“人即未来”理念；培养学生明确职业肩负着开发人力资源潜能、致力构建和谐劳动关系的重要使命。</w:t>
      </w:r>
    </w:p>
    <w:p w14:paraId="5A5EB737">
      <w:pPr>
        <w:spacing w:line="560" w:lineRule="exact"/>
        <w:ind w:firstLine="482"/>
        <w:rPr>
          <w:rFonts w:hint="eastAsia"/>
          <w:sz w:val="24"/>
          <w:szCs w:val="28"/>
        </w:rPr>
      </w:pPr>
      <w:r>
        <w:rPr>
          <w:rFonts w:hint="eastAsia"/>
          <w:b/>
          <w:sz w:val="24"/>
          <w:szCs w:val="28"/>
        </w:rPr>
        <w:t>劳动教育目标：</w:t>
      </w:r>
      <w:r>
        <w:rPr>
          <w:rFonts w:hint="eastAsia"/>
          <w:sz w:val="24"/>
          <w:szCs w:val="28"/>
        </w:rPr>
        <w:t>充分挖掘专业天然的思政元素，对中国古代人才观、劳动者与劳动观视角、职业价值理念案例、HR进课堂企业案例的等元素进行挖掘，以劳动者视角感知，以职业价值理念度量，弘扬新时代工匠精神与企业家精神，提升学生劳动意识与劳动智慧。</w:t>
      </w:r>
    </w:p>
    <w:p w14:paraId="7EA79D02">
      <w:pPr>
        <w:pStyle w:val="4"/>
        <w:spacing w:before="0" w:after="0" w:line="560" w:lineRule="exact"/>
        <w:ind w:firstLine="438"/>
        <w:rPr>
          <w:rFonts w:hint="eastAsia" w:ascii="仿宋" w:hAnsi="仿宋" w:eastAsia="仿宋" w:cs="Times New Roman"/>
          <w:spacing w:val="-11"/>
          <w:sz w:val="24"/>
        </w:rPr>
      </w:pPr>
      <w:r>
        <w:rPr>
          <w:rFonts w:hint="eastAsia" w:ascii="楷体_GB2312" w:hAnsi="楷体_GB2312" w:eastAsia="楷体_GB2312" w:cs="楷体_GB2312"/>
          <w:b/>
          <w:bCs w:val="0"/>
          <w:spacing w:val="-11"/>
          <w:sz w:val="24"/>
          <w:szCs w:val="28"/>
        </w:rPr>
        <w:t>（四）</w:t>
      </w:r>
      <w:r>
        <w:rPr>
          <w:rFonts w:hint="eastAsia" w:ascii="楷体_GB2312" w:hAnsi="楷体_GB2312" w:eastAsia="楷体_GB2312" w:cs="楷体_GB2312"/>
          <w:b/>
          <w:color w:val="FF0000"/>
          <w:spacing w:val="-11"/>
          <w:sz w:val="24"/>
          <w:szCs w:val="28"/>
        </w:rPr>
        <w:t>课程劳育环节设计，呈现整门课程的劳动教育环节及案例设计</w:t>
      </w:r>
    </w:p>
    <w:p w14:paraId="7F3F425E">
      <w:pPr>
        <w:autoSpaceDE w:val="0"/>
        <w:autoSpaceDN w:val="0"/>
        <w:spacing w:line="560" w:lineRule="exact"/>
        <w:ind w:left="119" w:right="96" w:firstLine="480"/>
        <w:rPr>
          <w:rFonts w:hint="eastAsia"/>
          <w:sz w:val="24"/>
          <w:szCs w:val="28"/>
        </w:rPr>
      </w:pPr>
      <w:r>
        <w:rPr>
          <w:rFonts w:hint="eastAsia"/>
          <w:sz w:val="24"/>
          <w:szCs w:val="28"/>
        </w:rPr>
        <w:drawing>
          <wp:anchor distT="0" distB="0" distL="114300" distR="114300" simplePos="0" relativeHeight="251659264" behindDoc="0" locked="0" layoutInCell="1" allowOverlap="1">
            <wp:simplePos x="0" y="0"/>
            <wp:positionH relativeFrom="column">
              <wp:posOffset>86995</wp:posOffset>
            </wp:positionH>
            <wp:positionV relativeFrom="paragraph">
              <wp:posOffset>2080260</wp:posOffset>
            </wp:positionV>
            <wp:extent cx="5248910" cy="3239135"/>
            <wp:effectExtent l="0" t="0" r="0" b="0"/>
            <wp:wrapTopAndBottom/>
            <wp:docPr id="6" name="图片 1" descr="166844534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1668445341906"/>
                    <pic:cNvPicPr>
                      <a:picLocks noChangeAspect="1"/>
                    </pic:cNvPicPr>
                  </pic:nvPicPr>
                  <pic:blipFill>
                    <a:blip r:embed="rId12"/>
                    <a:stretch>
                      <a:fillRect/>
                    </a:stretch>
                  </pic:blipFill>
                  <pic:spPr>
                    <a:xfrm>
                      <a:off x="0" y="0"/>
                      <a:ext cx="5248910" cy="3239135"/>
                    </a:xfrm>
                    <a:prstGeom prst="rect">
                      <a:avLst/>
                    </a:prstGeom>
                    <a:noFill/>
                    <a:ln>
                      <a:noFill/>
                    </a:ln>
                  </pic:spPr>
                </pic:pic>
              </a:graphicData>
            </a:graphic>
          </wp:anchor>
        </w:drawing>
      </w:r>
      <w:r>
        <w:rPr>
          <w:rFonts w:hint="eastAsia"/>
          <w:sz w:val="24"/>
          <w:szCs w:val="28"/>
        </w:rPr>
        <w:t>精准设计教学目标，重构基于职业素养培养的教学内容、组织教学过程，充实教学资源库。围绕专业职业素质要求，明确“思政元素浸润课堂、主动求索对话课堂、面向岗位实践课堂和多元视角开放课堂”的教学内容设计理念；以面向未来的职业素质培养重构内容体系框架，将人力资源职业素质体系划分四个素质层级：专业基础及通识性理论、知识综合运用、HR战略性思维、HRM平台应用能力，有效融入内容体系；课程思政内容有效融入每一个课程设计，建设课程在线资源平台的前沿文献库和案例库，布置阅读分享任务，鼓励自主学习；浪潮共建人力共享实训室和精创综合实训平台提炼课程6个核心技能实训项目，签订校外实习基地2家，满足实践教学需求。</w:t>
      </w:r>
    </w:p>
    <w:p w14:paraId="38E21F0A">
      <w:pPr>
        <w:spacing w:line="560" w:lineRule="exact"/>
        <w:ind w:firstLine="480"/>
        <w:rPr>
          <w:rFonts w:hint="eastAsia" w:ascii="仿宋" w:hAnsi="仿宋" w:eastAsia="仿宋" w:cs="Times New Roman"/>
          <w:spacing w:val="-11"/>
          <w:sz w:val="24"/>
        </w:rPr>
      </w:pPr>
      <w:r>
        <w:rPr>
          <w:rFonts w:hint="eastAsia"/>
          <w:sz w:val="24"/>
          <w:szCs w:val="28"/>
        </w:rPr>
        <w:drawing>
          <wp:anchor distT="0" distB="0" distL="114300" distR="114300" simplePos="0" relativeHeight="251660288" behindDoc="0" locked="0" layoutInCell="1" allowOverlap="1">
            <wp:simplePos x="0" y="0"/>
            <wp:positionH relativeFrom="column">
              <wp:posOffset>32385</wp:posOffset>
            </wp:positionH>
            <wp:positionV relativeFrom="paragraph">
              <wp:posOffset>96520</wp:posOffset>
            </wp:positionV>
            <wp:extent cx="5422900" cy="2503805"/>
            <wp:effectExtent l="0" t="0" r="0" b="0"/>
            <wp:wrapTopAndBottom/>
            <wp:docPr id="5" name="图片 1" descr="“三个创新”人才培养模式框架图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三个创新”人才培养模式框架图_01"/>
                    <pic:cNvPicPr>
                      <a:picLocks noChangeAspect="1"/>
                    </pic:cNvPicPr>
                  </pic:nvPicPr>
                  <pic:blipFill>
                    <a:blip r:embed="rId13"/>
                    <a:srcRect l="819" r="2797" b="20895"/>
                    <a:stretch>
                      <a:fillRect/>
                    </a:stretch>
                  </pic:blipFill>
                  <pic:spPr>
                    <a:xfrm>
                      <a:off x="0" y="0"/>
                      <a:ext cx="5422900" cy="2503805"/>
                    </a:xfrm>
                    <a:prstGeom prst="rect">
                      <a:avLst/>
                    </a:prstGeom>
                    <a:noFill/>
                    <a:ln>
                      <a:noFill/>
                    </a:ln>
                  </pic:spPr>
                </pic:pic>
              </a:graphicData>
            </a:graphic>
          </wp:anchor>
        </w:drawing>
      </w:r>
      <w:r>
        <w:rPr>
          <w:rFonts w:hint="eastAsia"/>
          <w:sz w:val="24"/>
          <w:szCs w:val="28"/>
        </w:rPr>
        <w:t>教学内容从招聘选拔、组织管理、劳动关系、企业文化四个方面设计，招聘与选拔模块关注共赢型人力资本模式、组织管理模块关注平台共治组织运行模式、劳动关系管理模块关注合作共生型劳动契约模式、企业文化模块关注开放共创型企业文化模式转型，优化与聚焦教学内容体系，全面对接人力资源管理课程全过程评价、线上线下资源平台和实训实践教学体系</w:t>
      </w:r>
      <w:r>
        <w:rPr>
          <w:rFonts w:hint="eastAsia" w:ascii="仿宋" w:hAnsi="仿宋" w:eastAsia="仿宋" w:cs="Times New Roman"/>
          <w:spacing w:val="-11"/>
          <w:sz w:val="24"/>
        </w:rPr>
        <w:t>。</w:t>
      </w:r>
    </w:p>
    <w:p w14:paraId="55CD8518">
      <w:pPr>
        <w:pStyle w:val="4"/>
        <w:spacing w:before="0" w:after="0" w:line="560" w:lineRule="exact"/>
        <w:ind w:firstLine="482"/>
        <w:rPr>
          <w:rFonts w:hint="eastAsia" w:ascii="楷体_GB2312" w:hAnsi="楷体_GB2312" w:eastAsia="楷体_GB2312" w:cs="楷体_GB2312"/>
          <w:b/>
          <w:bCs w:val="0"/>
          <w:color w:val="FF0000"/>
          <w:spacing w:val="-11"/>
          <w:sz w:val="24"/>
          <w:szCs w:val="28"/>
        </w:rPr>
      </w:pPr>
      <w:r>
        <w:rPr>
          <w:rFonts w:hint="eastAsia" w:ascii="楷体_GB2312" w:hAnsi="楷体_GB2312" w:eastAsia="楷体_GB2312" w:cs="楷体_GB2312"/>
          <w:b/>
          <w:bCs w:val="0"/>
          <w:spacing w:val="-11"/>
          <w:sz w:val="24"/>
          <w:szCs w:val="28"/>
        </w:rPr>
        <w:drawing>
          <wp:anchor distT="0" distB="0" distL="114300" distR="114300" simplePos="0" relativeHeight="251663360" behindDoc="0" locked="0" layoutInCell="1" allowOverlap="1">
            <wp:simplePos x="0" y="0"/>
            <wp:positionH relativeFrom="column">
              <wp:posOffset>274955</wp:posOffset>
            </wp:positionH>
            <wp:positionV relativeFrom="paragraph">
              <wp:posOffset>534035</wp:posOffset>
            </wp:positionV>
            <wp:extent cx="5154930" cy="1156970"/>
            <wp:effectExtent l="0" t="0" r="0" b="0"/>
            <wp:wrapTopAndBottom/>
            <wp:docPr id="9" name="图片 9" descr="第5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第5页-3"/>
                    <pic:cNvPicPr>
                      <a:picLocks noChangeAspect="1"/>
                    </pic:cNvPicPr>
                  </pic:nvPicPr>
                  <pic:blipFill>
                    <a:blip r:embed="rId14"/>
                    <a:stretch>
                      <a:fillRect/>
                    </a:stretch>
                  </pic:blipFill>
                  <pic:spPr>
                    <a:xfrm>
                      <a:off x="0" y="0"/>
                      <a:ext cx="5154930" cy="1156970"/>
                    </a:xfrm>
                    <a:prstGeom prst="rect">
                      <a:avLst/>
                    </a:prstGeom>
                  </pic:spPr>
                </pic:pic>
              </a:graphicData>
            </a:graphic>
          </wp:anchor>
        </w:drawing>
      </w:r>
      <w:r>
        <w:rPr>
          <w:rFonts w:hint="eastAsia" w:ascii="楷体_GB2312" w:hAnsi="楷体_GB2312" w:eastAsia="楷体_GB2312" w:cs="楷体_GB2312"/>
          <w:b/>
          <w:bCs w:val="0"/>
          <w:spacing w:val="-11"/>
          <w:sz w:val="24"/>
          <w:szCs w:val="28"/>
        </w:rPr>
        <w:t>（五）课程</w:t>
      </w:r>
      <w:r>
        <w:rPr>
          <w:rFonts w:hint="eastAsia" w:ascii="楷体_GB2312" w:hAnsi="楷体_GB2312" w:eastAsia="楷体_GB2312" w:cs="楷体_GB2312"/>
          <w:b/>
          <w:bCs w:val="0"/>
          <w:color w:val="FF0000"/>
          <w:spacing w:val="-11"/>
          <w:sz w:val="24"/>
          <w:szCs w:val="28"/>
        </w:rPr>
        <w:t>劳育</w:t>
      </w:r>
      <w:r>
        <w:rPr>
          <w:rFonts w:hint="eastAsia" w:ascii="楷体_GB2312" w:hAnsi="楷体_GB2312" w:eastAsia="楷体_GB2312" w:cs="楷体_GB2312"/>
          <w:b/>
          <w:bCs w:val="0"/>
          <w:spacing w:val="-11"/>
          <w:sz w:val="24"/>
          <w:szCs w:val="28"/>
        </w:rPr>
        <w:t>考核方式</w:t>
      </w:r>
    </w:p>
    <w:p w14:paraId="4877C7FA">
      <w:pPr>
        <w:autoSpaceDE w:val="0"/>
        <w:autoSpaceDN w:val="0"/>
        <w:spacing w:line="560" w:lineRule="exact"/>
        <w:ind w:firstLine="480"/>
        <w:jc w:val="left"/>
        <w:rPr>
          <w:rFonts w:hint="eastAsia"/>
          <w:sz w:val="24"/>
          <w:szCs w:val="28"/>
        </w:rPr>
      </w:pPr>
      <w:r>
        <w:rPr>
          <w:rFonts w:hint="eastAsia"/>
          <w:sz w:val="24"/>
          <w:szCs w:val="28"/>
        </w:rPr>
        <w:t>课程评价体现教学分层，既关注大多数学生基本的思政认知、应用达成、认知达成、情感达成的成效，也要关注有高需求的学生的高阶评价，构建全面课程教学效果评价体系，包括：课程需求分阶段调研评价、课堂效果评价、过程性+期末考核评价方案、课程思政效果评价四方面。</w:t>
      </w:r>
    </w:p>
    <w:p w14:paraId="363FAEFE">
      <w:pPr>
        <w:autoSpaceDE w:val="0"/>
        <w:autoSpaceDN w:val="0"/>
        <w:spacing w:line="560" w:lineRule="exact"/>
        <w:ind w:left="119" w:right="96" w:firstLine="480"/>
        <w:jc w:val="left"/>
        <w:rPr>
          <w:rFonts w:hint="eastAsia"/>
          <w:sz w:val="24"/>
          <w:szCs w:val="28"/>
        </w:rPr>
      </w:pPr>
      <w:r>
        <w:rPr>
          <w:rFonts w:hint="eastAsia"/>
          <w:sz w:val="24"/>
          <w:szCs w:val="28"/>
        </w:rPr>
        <w:drawing>
          <wp:anchor distT="0" distB="0" distL="114300" distR="114300" simplePos="0" relativeHeight="251661312" behindDoc="0" locked="0" layoutInCell="1" allowOverlap="1">
            <wp:simplePos x="0" y="0"/>
            <wp:positionH relativeFrom="column">
              <wp:posOffset>72390</wp:posOffset>
            </wp:positionH>
            <wp:positionV relativeFrom="paragraph">
              <wp:posOffset>107315</wp:posOffset>
            </wp:positionV>
            <wp:extent cx="5196205" cy="2997200"/>
            <wp:effectExtent l="0" t="0" r="0" b="0"/>
            <wp:wrapTopAndBottom/>
            <wp:docPr id="10" name="图片 10" descr="第6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第6页-4"/>
                    <pic:cNvPicPr>
                      <a:picLocks noChangeAspect="1"/>
                    </pic:cNvPicPr>
                  </pic:nvPicPr>
                  <pic:blipFill>
                    <a:blip r:embed="rId15"/>
                    <a:stretch>
                      <a:fillRect/>
                    </a:stretch>
                  </pic:blipFill>
                  <pic:spPr>
                    <a:xfrm>
                      <a:off x="0" y="0"/>
                      <a:ext cx="5196205" cy="2997200"/>
                    </a:xfrm>
                    <a:prstGeom prst="rect">
                      <a:avLst/>
                    </a:prstGeom>
                  </pic:spPr>
                </pic:pic>
              </a:graphicData>
            </a:graphic>
          </wp:anchor>
        </w:drawing>
      </w:r>
      <w:r>
        <w:rPr>
          <w:rFonts w:hint="eastAsia"/>
          <w:sz w:val="24"/>
          <w:szCs w:val="28"/>
        </w:rPr>
        <w:t>多元主体共同参与，注重学生自我评价与同伴互评。分阶段问卷调查，动态关注学习兴趣、动力和能力的激发与养成；课堂效果评价通过教学任务单的完成情况由学生进行自评，课堂小组活动进行小组内组员互评，随堂作业根据平台记录进行评价，随时关注学生的获得感；评价课程整体效果采用结果性评价与过程性评价并重；作为探索性加分项，将职业价值观澄清量表的学期前与学期末的测评结果作为课程思政达成度的评价。其中，重点对过程性考核进行设计，包括必选项、二选一与探索性加分项，评价线上线下课堂的学习投入、反思及互动等</w:t>
      </w:r>
      <w:r>
        <w:rPr>
          <w:rFonts w:hint="eastAsia" w:ascii="仿宋" w:hAnsi="仿宋" w:eastAsia="仿宋" w:cs="Times New Roman"/>
          <w:spacing w:val="-11"/>
          <w:sz w:val="24"/>
        </w:rPr>
        <w:t>。</w:t>
      </w:r>
    </w:p>
    <w:p w14:paraId="442912B3">
      <w:pPr>
        <w:autoSpaceDE w:val="0"/>
        <w:autoSpaceDN w:val="0"/>
        <w:spacing w:line="560" w:lineRule="exact"/>
        <w:ind w:firstLine="480"/>
        <w:jc w:val="left"/>
        <w:rPr>
          <w:rFonts w:hint="eastAsia"/>
          <w:sz w:val="24"/>
          <w:szCs w:val="28"/>
        </w:rPr>
      </w:pPr>
      <w:r>
        <w:rPr>
          <w:rFonts w:hint="eastAsia"/>
          <w:sz w:val="24"/>
          <w:szCs w:val="28"/>
        </w:rPr>
        <w:t>多元主体共同参与全面教学效果评价体系，构建起以学生自评、小组互评、教师参评、在线平台系统评的综合评价系统，合理运用评价结果，更好促进学生发展。</w:t>
      </w:r>
    </w:p>
    <w:p w14:paraId="76BF415A">
      <w:pPr>
        <w:pStyle w:val="4"/>
        <w:spacing w:before="0" w:after="0" w:line="560" w:lineRule="exact"/>
        <w:ind w:firstLine="438"/>
        <w:rPr>
          <w:rFonts w:hint="eastAsia" w:ascii="楷体_GB2312" w:hAnsi="楷体_GB2312" w:eastAsia="楷体_GB2312" w:cs="楷体_GB2312"/>
          <w:b/>
          <w:bCs w:val="0"/>
          <w:color w:val="FF0000"/>
          <w:spacing w:val="-11"/>
          <w:sz w:val="24"/>
        </w:rPr>
      </w:pPr>
      <w:r>
        <w:rPr>
          <w:rFonts w:hint="eastAsia" w:ascii="楷体_GB2312" w:hAnsi="楷体_GB2312" w:eastAsia="楷体_GB2312" w:cs="楷体_GB2312"/>
          <w:b/>
          <w:bCs w:val="0"/>
          <w:spacing w:val="-11"/>
          <w:sz w:val="24"/>
        </w:rPr>
        <w:t>（六）</w:t>
      </w:r>
      <w:r>
        <w:rPr>
          <w:rFonts w:hint="eastAsia" w:ascii="楷体_GB2312" w:hAnsi="楷体_GB2312" w:eastAsia="楷体_GB2312" w:cs="楷体_GB2312"/>
          <w:b/>
          <w:spacing w:val="-11"/>
          <w:sz w:val="24"/>
        </w:rPr>
        <w:t>预期</w:t>
      </w:r>
      <w:r>
        <w:rPr>
          <w:rFonts w:hint="eastAsia" w:ascii="楷体_GB2312" w:hAnsi="楷体_GB2312" w:eastAsia="楷体_GB2312" w:cs="楷体_GB2312"/>
          <w:b/>
          <w:color w:val="FF0000"/>
          <w:spacing w:val="-11"/>
          <w:sz w:val="24"/>
        </w:rPr>
        <w:t>劳育</w:t>
      </w:r>
      <w:r>
        <w:rPr>
          <w:rFonts w:hint="eastAsia" w:ascii="楷体_GB2312" w:hAnsi="楷体_GB2312" w:eastAsia="楷体_GB2312" w:cs="楷体_GB2312"/>
          <w:b/>
          <w:spacing w:val="-11"/>
          <w:sz w:val="24"/>
        </w:rPr>
        <w:t>教学效果</w:t>
      </w:r>
    </w:p>
    <w:p w14:paraId="223B2238">
      <w:pPr>
        <w:autoSpaceDE w:val="0"/>
        <w:autoSpaceDN w:val="0"/>
        <w:spacing w:line="560" w:lineRule="exact"/>
        <w:ind w:firstLine="480"/>
        <w:jc w:val="left"/>
        <w:rPr>
          <w:rFonts w:hint="eastAsia"/>
          <w:sz w:val="24"/>
          <w:szCs w:val="28"/>
        </w:rPr>
      </w:pPr>
      <w:r>
        <w:rPr>
          <w:rFonts w:hint="eastAsia"/>
          <w:sz w:val="24"/>
          <w:szCs w:val="28"/>
        </w:rPr>
        <w:t>经过教学创新，部分同学可以具备撰写论文、调研报告的能力；通过对职业价值观澄清量表的学期前与后的追踪，评价学生职业价值观角度的课程思政劳动观念的变化。同时，后续人力资源管理专业课教师对学生专业基础知识的掌握情况，更好衔接后续课程。</w:t>
      </w:r>
    </w:p>
    <w:p w14:paraId="519C7005">
      <w:pPr>
        <w:pStyle w:val="4"/>
        <w:spacing w:before="0" w:after="0" w:line="560" w:lineRule="exact"/>
        <w:ind w:firstLine="438"/>
        <w:rPr>
          <w:rFonts w:hint="eastAsia" w:ascii="楷体_GB2312" w:hAnsi="楷体_GB2312" w:eastAsia="楷体_GB2312" w:cs="楷体_GB2312"/>
          <w:b/>
          <w:bCs w:val="0"/>
          <w:spacing w:val="-11"/>
          <w:sz w:val="24"/>
        </w:rPr>
      </w:pPr>
      <w:r>
        <w:rPr>
          <w:rFonts w:hint="eastAsia" w:ascii="楷体_GB2312" w:hAnsi="楷体_GB2312" w:eastAsia="楷体_GB2312" w:cs="楷体_GB2312"/>
          <w:b/>
          <w:bCs w:val="0"/>
          <w:spacing w:val="-11"/>
          <w:sz w:val="24"/>
        </w:rPr>
        <w:t>（七）</w:t>
      </w:r>
      <w:r>
        <w:rPr>
          <w:rFonts w:hint="eastAsia" w:ascii="楷体_GB2312" w:hAnsi="楷体_GB2312" w:eastAsia="楷体_GB2312" w:cs="楷体_GB2312"/>
          <w:b/>
          <w:bCs w:val="0"/>
          <w:color w:val="FF0000"/>
          <w:spacing w:val="-11"/>
          <w:sz w:val="24"/>
        </w:rPr>
        <w:t>课程劳育</w:t>
      </w:r>
      <w:r>
        <w:rPr>
          <w:rFonts w:hint="eastAsia" w:ascii="楷体_GB2312" w:hAnsi="楷体_GB2312" w:eastAsia="楷体_GB2312" w:cs="楷体_GB2312"/>
          <w:b/>
          <w:spacing w:val="-11"/>
          <w:sz w:val="24"/>
        </w:rPr>
        <w:t>对</w:t>
      </w:r>
      <w:r>
        <w:rPr>
          <w:rFonts w:hint="eastAsia" w:ascii="楷体_GB2312" w:hAnsi="楷体_GB2312" w:eastAsia="楷体_GB2312" w:cs="楷体_GB2312"/>
          <w:b/>
          <w:color w:val="FF0000"/>
          <w:spacing w:val="-11"/>
          <w:sz w:val="24"/>
        </w:rPr>
        <w:t>专业</w:t>
      </w:r>
      <w:r>
        <w:rPr>
          <w:rFonts w:hint="eastAsia" w:ascii="楷体_GB2312" w:hAnsi="楷体_GB2312" w:eastAsia="楷体_GB2312" w:cs="楷体_GB2312"/>
          <w:b/>
          <w:spacing w:val="-11"/>
          <w:sz w:val="24"/>
        </w:rPr>
        <w:t>人才培养目标的支撑</w:t>
      </w:r>
    </w:p>
    <w:p w14:paraId="79825A10">
      <w:pPr>
        <w:autoSpaceDE w:val="0"/>
        <w:autoSpaceDN w:val="0"/>
        <w:spacing w:line="560" w:lineRule="exact"/>
        <w:ind w:firstLine="480"/>
        <w:jc w:val="left"/>
        <w:rPr>
          <w:rFonts w:hint="eastAsia"/>
          <w:sz w:val="24"/>
          <w:szCs w:val="28"/>
        </w:rPr>
      </w:pPr>
      <w:r>
        <w:rPr>
          <w:rFonts w:hint="eastAsia"/>
          <w:sz w:val="24"/>
          <w:szCs w:val="28"/>
        </w:rPr>
        <w:t>人才培养目标：本专业以构建中国特色和谐劳动关系为价值引领，面向区域经济社会发展，旨在培养思想政治素质过硬、人力资源管理理论扎实、技能多元、劳动法律素养深厚、沟通协调能力突出，能够适应数字化时代要求，在政府部门、各类企事业单位、工会等组织中从事劳动关系管理、政策研究工作的德智体美劳全面发展的高素质应用型人才。</w:t>
      </w:r>
    </w:p>
    <w:p w14:paraId="18C60762">
      <w:pPr>
        <w:autoSpaceDE w:val="0"/>
        <w:autoSpaceDN w:val="0"/>
        <w:spacing w:line="560" w:lineRule="exact"/>
        <w:ind w:firstLine="480"/>
        <w:jc w:val="left"/>
        <w:rPr>
          <w:rFonts w:hint="eastAsia"/>
          <w:sz w:val="24"/>
          <w:szCs w:val="28"/>
        </w:rPr>
      </w:pPr>
      <w:r>
        <w:rPr>
          <w:sz w:val="24"/>
          <w:szCs w:val="28"/>
        </w:rPr>
        <w:t>课程教学团队依照人才培养方案，实施专业设置与产业需求相对接、课程内容与职业标准相对接、教学过程与工作过程相对接，开展逆向教学设计。</w:t>
      </w:r>
      <w:r>
        <w:rPr>
          <w:rFonts w:hint="eastAsia"/>
          <w:sz w:val="24"/>
          <w:szCs w:val="28"/>
        </w:rPr>
        <w:t>课程建设符合应用型人才培养需求，注重实践能力，与浪潮共建人力共享实验室，拓宽学生实习就业渠道；每一位学生在学期内撰写一篇论文或调研报告，有效提升学生的专业素养；课程思政视角的劳动教育目标得以实现，有效支撑专业人才培养中“专业劳育”的目标，深化对专业人才培养改革的理论研究，又可以从实践层面推动专业建设，创新专业人才培养改革，培养和塑造创新型的高素质人才。</w:t>
      </w:r>
    </w:p>
    <w:p w14:paraId="0015FFEA">
      <w:pPr>
        <w:pStyle w:val="3"/>
        <w:spacing w:line="560" w:lineRule="exact"/>
        <w:ind w:firstLine="480"/>
        <w:rPr>
          <w:rFonts w:hint="eastAsia" w:ascii="黑体"/>
          <w:sz w:val="24"/>
          <w:szCs w:val="24"/>
        </w:rPr>
      </w:pPr>
      <w:r>
        <w:rPr>
          <w:rFonts w:hint="eastAsia" w:ascii="黑体" w:eastAsia="黑体"/>
          <w:sz w:val="24"/>
          <w:szCs w:val="24"/>
        </w:rPr>
        <w:t>二、</w:t>
      </w:r>
      <w:r>
        <w:rPr>
          <w:rFonts w:hint="eastAsia" w:ascii="黑体" w:eastAsia="黑体"/>
          <w:color w:val="FF0000"/>
          <w:sz w:val="24"/>
          <w:szCs w:val="24"/>
        </w:rPr>
        <w:t>劳动教育</w:t>
      </w:r>
      <w:r>
        <w:rPr>
          <w:rFonts w:hint="eastAsia" w:ascii="黑体" w:eastAsia="黑体"/>
          <w:sz w:val="24"/>
          <w:szCs w:val="24"/>
        </w:rPr>
        <w:t>案例设计</w:t>
      </w:r>
    </w:p>
    <w:p w14:paraId="67076828">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（一）案例名称</w:t>
      </w:r>
    </w:p>
    <w:p w14:paraId="2233B08F">
      <w:pPr>
        <w:autoSpaceDE w:val="0"/>
        <w:autoSpaceDN w:val="0"/>
        <w:spacing w:line="560" w:lineRule="exact"/>
        <w:ind w:firstLine="386" w:firstLineChars="161"/>
        <w:rPr>
          <w:rFonts w:hint="eastAsia"/>
          <w:sz w:val="24"/>
          <w:szCs w:val="28"/>
        </w:rPr>
      </w:pPr>
      <w:r>
        <w:rPr>
          <w:rFonts w:hint="eastAsia"/>
          <w:sz w:val="24"/>
          <w:szCs w:val="28"/>
        </w:rPr>
        <w:t>中国古代劳动人民伟大的治水智慧——《天下长河》中的人才甄选与职业生涯规划</w:t>
      </w:r>
    </w:p>
    <w:p w14:paraId="34091FE3">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（二）案例教学目标</w:t>
      </w:r>
    </w:p>
    <w:p w14:paraId="5D191B4F">
      <w:pPr>
        <w:autoSpaceDE w:val="0"/>
        <w:autoSpaceDN w:val="0"/>
        <w:spacing w:line="560" w:lineRule="exact"/>
        <w:ind w:firstLine="480"/>
        <w:jc w:val="left"/>
        <w:rPr>
          <w:rFonts w:hint="eastAsia"/>
          <w:sz w:val="24"/>
          <w:szCs w:val="28"/>
        </w:rPr>
      </w:pPr>
      <w:r>
        <w:rPr>
          <w:rFonts w:hint="eastAsia"/>
          <w:sz w:val="24"/>
          <w:szCs w:val="28"/>
        </w:rPr>
        <w:t>知识目标：深入理解人才甄选的原则，了解生涯发展地图理论，学习职业定位、职业适应、职业发展、职业转型、职业平衡五阶段中的分析方法和工具。</w:t>
      </w:r>
    </w:p>
    <w:p w14:paraId="2739895B">
      <w:pPr>
        <w:autoSpaceDE w:val="0"/>
        <w:autoSpaceDN w:val="0"/>
        <w:spacing w:line="560" w:lineRule="exact"/>
        <w:ind w:firstLine="480"/>
        <w:jc w:val="left"/>
        <w:rPr>
          <w:rFonts w:hint="eastAsia"/>
          <w:sz w:val="24"/>
          <w:szCs w:val="28"/>
        </w:rPr>
      </w:pPr>
      <w:r>
        <w:rPr>
          <w:rFonts w:hint="eastAsia"/>
          <w:sz w:val="24"/>
          <w:szCs w:val="28"/>
        </w:rPr>
        <w:t>能力目标：运用生涯发展地图自我剖析，具备职业指导的基本能力。</w:t>
      </w:r>
    </w:p>
    <w:p w14:paraId="655731DC">
      <w:pPr>
        <w:autoSpaceDE w:val="0"/>
        <w:autoSpaceDN w:val="0"/>
        <w:spacing w:line="560" w:lineRule="exact"/>
        <w:ind w:firstLine="480"/>
        <w:jc w:val="left"/>
        <w:rPr>
          <w:rFonts w:hint="eastAsia"/>
          <w:sz w:val="24"/>
          <w:szCs w:val="28"/>
        </w:rPr>
      </w:pPr>
      <w:r>
        <w:rPr>
          <w:rFonts w:hint="eastAsia"/>
          <w:sz w:val="24"/>
          <w:szCs w:val="28"/>
        </w:rPr>
        <w:t>劳动教育目标：传承与歌颂古代治河人的劳动者代表“治河精神”，建立人力资源价值立场和职业认知，传播职业价值观，让劳动者的治河精神感染当代学生的职业选择价值观。</w:t>
      </w:r>
    </w:p>
    <w:p w14:paraId="5D20C1E7">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（三）案例教学内容</w:t>
      </w:r>
    </w:p>
    <w:p w14:paraId="4CBB93DB">
      <w:pPr>
        <w:autoSpaceDE w:val="0"/>
        <w:autoSpaceDN w:val="0"/>
        <w:spacing w:line="560" w:lineRule="exact"/>
        <w:ind w:firstLine="480"/>
        <w:rPr>
          <w:rFonts w:hint="eastAsia"/>
          <w:sz w:val="24"/>
          <w:szCs w:val="28"/>
        </w:rPr>
      </w:pPr>
      <w:r>
        <w:rPr>
          <w:rFonts w:hint="eastAsia"/>
          <w:sz w:val="24"/>
          <w:szCs w:val="28"/>
        </w:rPr>
        <w:t>九曲黄河，浪淘风簸。黄河的治理和守护，关系着国计民生、文化传承。从古至今，无数先辈投身黄河治理保护。中华民族治理黄河的的仁人志士，是一群一心只为社稷苍生的大国工匠，他们生动、立体、多元的治河群像深入人心。《人力资源管理》课程围绕学校融入“爱党爱国、崇劳尚能”的人才培养要素与工匠精神与育人方式深度耦合的“产学研会”多主体协同育人机制，将黄河重大国家战略融入课堂主线，将古今人才观与人才强国战略思维、劳动者视角感知、职业价值理念度量、工匠精神传承与企业家精神弘扬的思政视角融入教学内容。</w:t>
      </w:r>
      <w:r>
        <w:rPr>
          <w:sz w:val="24"/>
          <w:szCs w:val="28"/>
        </w:rPr>
        <w:t>千古治河人，传承黄河魂</w:t>
      </w:r>
      <w:r>
        <w:rPr>
          <w:rFonts w:hint="eastAsia"/>
          <w:sz w:val="24"/>
          <w:szCs w:val="28"/>
        </w:rPr>
        <w:t>，将黄河人、黄河志，通过《人力资源管理》课程的学习，融入对“治河精神”的歌颂和传承，让治河精神感染更多当代青年。</w:t>
      </w:r>
    </w:p>
    <w:p w14:paraId="532429B3">
      <w:pPr>
        <w:autoSpaceDE w:val="0"/>
        <w:autoSpaceDN w:val="0"/>
        <w:spacing w:line="560" w:lineRule="exact"/>
        <w:ind w:firstLine="480"/>
        <w:jc w:val="left"/>
        <w:rPr>
          <w:rFonts w:hint="eastAsia"/>
          <w:b/>
          <w:sz w:val="24"/>
          <w:szCs w:val="28"/>
        </w:rPr>
      </w:pPr>
      <w:r>
        <w:rPr>
          <w:rFonts w:hint="eastAsia"/>
          <w:sz w:val="24"/>
          <w:szCs w:val="28"/>
        </w:rPr>
        <w:t>人才的甄选的标准在不同的历史背景下</w:t>
      </w:r>
      <w:r>
        <w:rPr>
          <w:sz w:val="24"/>
          <w:szCs w:val="28"/>
        </w:rPr>
        <w:t>因世、因时、因事、因职各异</w:t>
      </w:r>
      <w:r>
        <w:rPr>
          <w:rFonts w:hint="eastAsia"/>
          <w:sz w:val="24"/>
          <w:szCs w:val="28"/>
        </w:rPr>
        <w:t>，</w:t>
      </w:r>
      <w:r>
        <w:rPr>
          <w:sz w:val="24"/>
          <w:szCs w:val="28"/>
        </w:rPr>
        <w:t>但总的来说，无外乎德才两个方面</w:t>
      </w:r>
      <w:r>
        <w:rPr>
          <w:rFonts w:hint="eastAsia"/>
          <w:sz w:val="24"/>
          <w:szCs w:val="28"/>
        </w:rPr>
        <w:t>，其职业生涯的开发与规划也与时代同共担当。穿越历史的时空，</w:t>
      </w:r>
      <w:r>
        <w:rPr>
          <w:sz w:val="24"/>
          <w:szCs w:val="28"/>
        </w:rPr>
        <w:t>千古治河人，</w:t>
      </w:r>
      <w:r>
        <w:rPr>
          <w:rFonts w:hint="eastAsia"/>
          <w:sz w:val="24"/>
          <w:szCs w:val="28"/>
        </w:rPr>
        <w:t>他们的</w:t>
      </w:r>
      <w:r>
        <w:rPr>
          <w:sz w:val="24"/>
          <w:szCs w:val="28"/>
        </w:rPr>
        <w:t>治河精神</w:t>
      </w:r>
      <w:r>
        <w:rPr>
          <w:rFonts w:hint="eastAsia"/>
          <w:sz w:val="24"/>
          <w:szCs w:val="28"/>
        </w:rPr>
        <w:t>得以</w:t>
      </w:r>
      <w:r>
        <w:rPr>
          <w:sz w:val="24"/>
          <w:szCs w:val="28"/>
        </w:rPr>
        <w:t>传承和弘扬</w:t>
      </w:r>
      <w:r>
        <w:rPr>
          <w:rFonts w:hint="eastAsia"/>
          <w:sz w:val="24"/>
          <w:szCs w:val="28"/>
        </w:rPr>
        <w:t>，他们的事业轨迹与历史使命同呼吸共命运，希望学生可以在职业担当与价值选择中获得精神滋养，体验古代劳动人民的情感共振。</w:t>
      </w:r>
      <w:r>
        <w:rPr>
          <w:rFonts w:hint="eastAsia"/>
          <w:b/>
          <w:sz w:val="24"/>
          <w:szCs w:val="28"/>
        </w:rPr>
        <w:t>让“黄河精神”迸发新时代价值，让当代青年职业价值彰显光芒。</w:t>
      </w:r>
    </w:p>
    <w:p w14:paraId="2D609C82">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（四）案例教学方法（</w:t>
      </w:r>
      <w:r>
        <w:rPr>
          <w:rFonts w:hint="eastAsia" w:ascii="楷体" w:hAnsi="楷体" w:eastAsia="楷体"/>
          <w:color w:val="FF0000"/>
          <w:sz w:val="24"/>
          <w:szCs w:val="24"/>
        </w:rPr>
        <w:t>聚焦本劳动教育案例的教学方法</w:t>
      </w:r>
      <w:r>
        <w:rPr>
          <w:rFonts w:hint="eastAsia" w:ascii="楷体" w:hAnsi="楷体" w:eastAsia="楷体"/>
          <w:sz w:val="24"/>
          <w:szCs w:val="24"/>
        </w:rPr>
        <w:t>）</w:t>
      </w:r>
    </w:p>
    <w:p w14:paraId="6E60F0F4">
      <w:pPr>
        <w:autoSpaceDE w:val="0"/>
        <w:autoSpaceDN w:val="0"/>
        <w:spacing w:line="560" w:lineRule="exact"/>
        <w:ind w:firstLine="480"/>
        <w:jc w:val="left"/>
        <w:rPr>
          <w:rFonts w:hint="eastAsia"/>
          <w:sz w:val="24"/>
          <w:szCs w:val="28"/>
        </w:rPr>
      </w:pPr>
      <w:r>
        <w:rPr>
          <w:sz w:val="24"/>
          <w:szCs w:val="28"/>
        </w:rPr>
        <w:t>课程教学团队</w:t>
      </w:r>
      <w:r>
        <w:rPr>
          <w:rFonts w:hint="eastAsia"/>
          <w:sz w:val="24"/>
          <w:szCs w:val="28"/>
        </w:rPr>
        <w:t>采用线上线下</w:t>
      </w:r>
      <w:r>
        <w:rPr>
          <w:sz w:val="24"/>
          <w:szCs w:val="28"/>
        </w:rPr>
        <w:t>混合式教学</w:t>
      </w:r>
      <w:r>
        <w:rPr>
          <w:rFonts w:hint="eastAsia"/>
          <w:sz w:val="24"/>
          <w:szCs w:val="28"/>
        </w:rPr>
        <w:t>方法</w:t>
      </w:r>
      <w:r>
        <w:rPr>
          <w:sz w:val="24"/>
          <w:szCs w:val="28"/>
        </w:rPr>
        <w:t>。</w:t>
      </w:r>
    </w:p>
    <w:p w14:paraId="1808B6A8">
      <w:pPr>
        <w:autoSpaceDE w:val="0"/>
        <w:autoSpaceDN w:val="0"/>
        <w:spacing w:line="560" w:lineRule="exact"/>
        <w:ind w:firstLine="480"/>
        <w:jc w:val="left"/>
        <w:rPr>
          <w:rFonts w:hint="eastAsia"/>
          <w:sz w:val="24"/>
          <w:szCs w:val="28"/>
        </w:rPr>
      </w:pPr>
      <w:r>
        <w:rPr>
          <w:sz w:val="24"/>
          <w:szCs w:val="28"/>
        </w:rPr>
        <w:t>（1）混合式PBL学习：以具体问题为锲入点和纽带，以师生互动为基本形式，层层递进引导学生从概念走向实操；</w:t>
      </w:r>
    </w:p>
    <w:p w14:paraId="215401CE">
      <w:pPr>
        <w:autoSpaceDE w:val="0"/>
        <w:autoSpaceDN w:val="0"/>
        <w:spacing w:line="560" w:lineRule="exact"/>
        <w:ind w:firstLine="480"/>
        <w:jc w:val="left"/>
        <w:rPr>
          <w:rFonts w:hint="eastAsia"/>
          <w:sz w:val="24"/>
          <w:szCs w:val="28"/>
        </w:rPr>
      </w:pPr>
      <w:r>
        <w:rPr>
          <w:sz w:val="24"/>
          <w:szCs w:val="28"/>
        </w:rPr>
        <w:t>（2）任务驱动式教学组织：课前线上导学、课中数字化教学和产教融合实践、课后线上巩固与支持，小组探究，结合行业，以赛促学，课堂竞技；</w:t>
      </w:r>
    </w:p>
    <w:p w14:paraId="2ED60D36">
      <w:pPr>
        <w:autoSpaceDE w:val="0"/>
        <w:autoSpaceDN w:val="0"/>
        <w:spacing w:line="560" w:lineRule="exact"/>
        <w:ind w:firstLine="480"/>
        <w:jc w:val="left"/>
        <w:rPr>
          <w:rFonts w:hint="eastAsia"/>
          <w:sz w:val="24"/>
          <w:szCs w:val="28"/>
        </w:rPr>
      </w:pPr>
      <w:r>
        <w:rPr>
          <w:sz w:val="24"/>
          <w:szCs w:val="28"/>
        </w:rPr>
        <w:t>（3）知识体系重构：将课程产出的核心知识点组成新的知识体系并转化为课堂教学和实训教学内容，将非核心知识点，形成课前线上自学内容，引导学生进行自主学习；</w:t>
      </w:r>
    </w:p>
    <w:p w14:paraId="64C58E22">
      <w:pPr>
        <w:autoSpaceDE w:val="0"/>
        <w:autoSpaceDN w:val="0"/>
        <w:spacing w:line="560" w:lineRule="exact"/>
        <w:ind w:firstLine="480"/>
        <w:jc w:val="left"/>
        <w:rPr>
          <w:rFonts w:hint="eastAsia"/>
          <w:sz w:val="24"/>
          <w:szCs w:val="28"/>
        </w:rPr>
      </w:pPr>
      <w:r>
        <w:rPr>
          <w:sz w:val="24"/>
          <w:szCs w:val="28"/>
        </w:rPr>
        <w:t>（4）SPOC教学：依托学习平台搭载的资源库，发布教学任务单，明确线上学习达成度；开展情景模拟和小组研讨，打破课堂沉默，学生以小组或个人形式提交学习成果。</w:t>
      </w:r>
    </w:p>
    <w:p w14:paraId="09EA8D11">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（五）案例教学过程</w:t>
      </w:r>
    </w:p>
    <w:p w14:paraId="06326912">
      <w:pPr>
        <w:autoSpaceDE w:val="0"/>
        <w:autoSpaceDN w:val="0"/>
        <w:spacing w:line="560" w:lineRule="exact"/>
        <w:ind w:firstLine="482"/>
        <w:jc w:val="left"/>
        <w:rPr>
          <w:rFonts w:hint="eastAsia"/>
          <w:b/>
          <w:sz w:val="24"/>
          <w:szCs w:val="28"/>
        </w:rPr>
      </w:pPr>
      <w:r>
        <w:rPr>
          <w:rFonts w:hint="eastAsia"/>
          <w:b/>
          <w:sz w:val="24"/>
          <w:szCs w:val="28"/>
        </w:rPr>
        <w:t>1.课程导入</w:t>
      </w:r>
    </w:p>
    <w:p w14:paraId="56F58B3D">
      <w:pPr>
        <w:autoSpaceDE w:val="0"/>
        <w:autoSpaceDN w:val="0"/>
        <w:spacing w:line="560" w:lineRule="exact"/>
        <w:ind w:firstLine="482"/>
        <w:jc w:val="center"/>
        <w:rPr>
          <w:rFonts w:hint="eastAsia"/>
          <w:b/>
          <w:sz w:val="24"/>
          <w:szCs w:val="28"/>
        </w:rPr>
      </w:pPr>
      <w:r>
        <w:rPr>
          <w:rFonts w:hint="eastAsia"/>
          <w:b/>
          <w:sz w:val="24"/>
          <w:szCs w:val="28"/>
        </w:rPr>
        <w:t>《天下长河》——人才甄选与职业生涯规划</w:t>
      </w:r>
    </w:p>
    <w:p w14:paraId="24EB89BD">
      <w:pPr>
        <w:autoSpaceDE w:val="0"/>
        <w:autoSpaceDN w:val="0"/>
        <w:spacing w:line="560" w:lineRule="exact"/>
        <w:ind w:firstLine="480"/>
        <w:jc w:val="left"/>
        <w:rPr>
          <w:rFonts w:hint="eastAsia"/>
          <w:sz w:val="24"/>
          <w:szCs w:val="28"/>
        </w:rPr>
      </w:pPr>
      <w:r>
        <w:rPr>
          <w:rFonts w:hint="eastAsia"/>
          <w:sz w:val="24"/>
          <w:szCs w:val="28"/>
        </w:rPr>
        <w:t>冰天雪地，空旷凄冷的黄河边一片寂静漆黑。靳辅和陈潢席地而卧，看着黑漆漆的天空，呼吸着清冷的空气，靳辅突然问陈潢：“你真的不想求得功名吗？”在他看来，陈潢才大如海，又得皇上赏识，考取功名前途无量，跟着他治水顶多算一个幕僚。面对靳辅直击内心的一问，陈潢说出自己的“野心”：“我有，而且很大。”他希望自己成为像大禹、李冰、潘季驯一样的人，让自己的名字跟这条河在一起。当陈潢说出那句“我一定要让黄河安澜不输古人”的豪言壮语后，镜头转向熊熊燃烧的篝火，此刻他的内心正如这篝火，心向光明，充满期望。紧接着，一个远景拉开，漆黑空旷的大环境中只有一团火苗和两个隐约可见的背影，预示着二人将开启一段充满荆棘的漫漫治河路。</w:t>
      </w:r>
    </w:p>
    <w:p w14:paraId="7B0FE4AF">
      <w:pPr>
        <w:autoSpaceDE w:val="0"/>
        <w:autoSpaceDN w:val="0"/>
        <w:spacing w:line="560" w:lineRule="exact"/>
        <w:ind w:firstLine="482"/>
        <w:jc w:val="left"/>
        <w:rPr>
          <w:rFonts w:hint="eastAsia"/>
          <w:b/>
          <w:sz w:val="24"/>
          <w:szCs w:val="28"/>
        </w:rPr>
      </w:pPr>
      <w:r>
        <w:rPr>
          <w:rFonts w:hint="eastAsia"/>
          <w:b/>
          <w:sz w:val="24"/>
          <w:szCs w:val="28"/>
        </w:rPr>
        <w:t>2.课程学习任务单</w:t>
      </w:r>
    </w:p>
    <w:p w14:paraId="2BC5034A">
      <w:pPr>
        <w:autoSpaceDE w:val="0"/>
        <w:autoSpaceDN w:val="0"/>
        <w:spacing w:line="500" w:lineRule="exact"/>
        <w:ind w:left="119" w:right="98" w:firstLine="480"/>
        <w:jc w:val="left"/>
        <w:rPr>
          <w:rFonts w:hint="eastAsia"/>
          <w:color w:val="FF0000"/>
          <w:sz w:val="24"/>
          <w:szCs w:val="28"/>
        </w:rPr>
      </w:pPr>
      <w:r>
        <w:rPr>
          <w:sz w:val="24"/>
          <w:szCs w:val="28"/>
        </w:rPr>
        <w:drawing>
          <wp:anchor distT="0" distB="0" distL="114300" distR="114300" simplePos="0" relativeHeight="251664384" behindDoc="0" locked="0" layoutInCell="1" allowOverlap="1">
            <wp:simplePos x="0" y="0"/>
            <wp:positionH relativeFrom="column">
              <wp:posOffset>664210</wp:posOffset>
            </wp:positionH>
            <wp:positionV relativeFrom="paragraph">
              <wp:posOffset>363855</wp:posOffset>
            </wp:positionV>
            <wp:extent cx="3940810" cy="4511675"/>
            <wp:effectExtent l="0" t="0" r="0" b="0"/>
            <wp:wrapTopAndBottom/>
            <wp:docPr id="11" name="图片 11" descr="169280769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92807691409"/>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40810" cy="4511675"/>
                    </a:xfrm>
                    <a:prstGeom prst="rect">
                      <a:avLst/>
                    </a:prstGeom>
                  </pic:spPr>
                </pic:pic>
              </a:graphicData>
            </a:graphic>
          </wp:anchor>
        </w:drawing>
      </w:r>
      <w:r>
        <w:rPr>
          <w:rFonts w:hint="eastAsia"/>
          <w:sz w:val="24"/>
          <w:szCs w:val="28"/>
        </w:rPr>
        <w:t>（1）课前</w:t>
      </w:r>
      <w:r>
        <w:rPr>
          <w:rFonts w:hint="eastAsia"/>
          <w:color w:val="FF0000"/>
          <w:sz w:val="24"/>
          <w:szCs w:val="28"/>
        </w:rPr>
        <w:t>（须为word版原图）</w:t>
      </w:r>
    </w:p>
    <w:p w14:paraId="401BEF25">
      <w:pPr>
        <w:autoSpaceDE w:val="0"/>
        <w:autoSpaceDN w:val="0"/>
        <w:spacing w:line="500" w:lineRule="exact"/>
        <w:ind w:left="119" w:right="98" w:firstLine="480"/>
        <w:jc w:val="left"/>
        <w:rPr>
          <w:rFonts w:hint="eastAsia"/>
          <w:color w:val="FF0000"/>
          <w:sz w:val="24"/>
          <w:szCs w:val="28"/>
        </w:rPr>
      </w:pPr>
      <w:r>
        <w:rPr>
          <w:rFonts w:hint="eastAsia"/>
          <w:sz w:val="24"/>
          <w:szCs w:val="28"/>
        </w:rPr>
        <w:drawing>
          <wp:anchor distT="0" distB="0" distL="114300" distR="114300" simplePos="0" relativeHeight="251662336" behindDoc="0" locked="0" layoutInCell="1" allowOverlap="1">
            <wp:simplePos x="0" y="0"/>
            <wp:positionH relativeFrom="column">
              <wp:posOffset>607060</wp:posOffset>
            </wp:positionH>
            <wp:positionV relativeFrom="paragraph">
              <wp:posOffset>4934585</wp:posOffset>
            </wp:positionV>
            <wp:extent cx="3138805" cy="4213225"/>
            <wp:effectExtent l="0" t="0" r="0" b="0"/>
            <wp:wrapTopAndBottom/>
            <wp:docPr id="12" name="图片 12" descr="169280776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92807765726"/>
                    <pic:cNvPicPr>
                      <a:picLocks noChangeAspect="1"/>
                    </pic:cNvPicPr>
                  </pic:nvPicPr>
                  <pic:blipFill>
                    <a:blip r:embed="rId17"/>
                    <a:stretch>
                      <a:fillRect/>
                    </a:stretch>
                  </pic:blipFill>
                  <pic:spPr>
                    <a:xfrm>
                      <a:off x="0" y="0"/>
                      <a:ext cx="3138805" cy="4213225"/>
                    </a:xfrm>
                    <a:prstGeom prst="rect">
                      <a:avLst/>
                    </a:prstGeom>
                  </pic:spPr>
                </pic:pic>
              </a:graphicData>
            </a:graphic>
          </wp:anchor>
        </w:drawing>
      </w:r>
      <w:r>
        <w:rPr>
          <w:rFonts w:hint="eastAsia"/>
          <w:sz w:val="24"/>
          <w:szCs w:val="28"/>
        </w:rPr>
        <w:t>（2）课中</w:t>
      </w:r>
      <w:r>
        <w:rPr>
          <w:rFonts w:hint="eastAsia"/>
          <w:color w:val="FF0000"/>
          <w:sz w:val="24"/>
          <w:szCs w:val="28"/>
        </w:rPr>
        <w:t>（须为word版原图）</w:t>
      </w:r>
    </w:p>
    <w:p w14:paraId="0AB2404D">
      <w:pPr>
        <w:autoSpaceDE w:val="0"/>
        <w:autoSpaceDN w:val="0"/>
        <w:spacing w:line="500" w:lineRule="exact"/>
        <w:ind w:left="119" w:right="98" w:firstLine="480"/>
        <w:jc w:val="left"/>
        <w:rPr>
          <w:rFonts w:hint="eastAsia"/>
          <w:color w:val="FF0000"/>
          <w:sz w:val="24"/>
          <w:szCs w:val="28"/>
        </w:rPr>
      </w:pPr>
      <w:r>
        <w:rPr>
          <w:rFonts w:hint="eastAsia"/>
          <w:sz w:val="24"/>
          <w:szCs w:val="28"/>
        </w:rPr>
        <w:t>（3）课后</w:t>
      </w:r>
      <w:r>
        <w:rPr>
          <w:rFonts w:hint="eastAsia"/>
          <w:color w:val="FF0000"/>
          <w:sz w:val="24"/>
          <w:szCs w:val="28"/>
        </w:rPr>
        <w:t>（须为word版原图）</w:t>
      </w:r>
    </w:p>
    <w:p w14:paraId="735985FD">
      <w:pPr>
        <w:pStyle w:val="9"/>
        <w:ind w:firstLine="480"/>
        <w:jc w:val="center"/>
        <w:rPr>
          <w:rFonts w:hint="eastAsia" w:ascii="仿宋" w:hAnsi="仿宋" w:eastAsia="仿宋"/>
          <w:spacing w:val="-11"/>
          <w:sz w:val="24"/>
          <w:szCs w:val="21"/>
        </w:rPr>
      </w:pPr>
      <w:r>
        <w:rPr>
          <w:rFonts w:ascii="仿宋" w:hAnsi="仿宋" w:eastAsia="仿宋"/>
          <w:spacing w:val="-11"/>
          <w:sz w:val="24"/>
          <w:szCs w:val="21"/>
        </w:rPr>
        <w:drawing>
          <wp:inline distT="0" distB="0" distL="114300" distR="114300">
            <wp:extent cx="4267200" cy="4311650"/>
            <wp:effectExtent l="0" t="0" r="0" b="0"/>
            <wp:docPr id="13" name="图片 13" descr="169280780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92807805174"/>
                    <pic:cNvPicPr>
                      <a:picLocks noChangeAspect="1"/>
                    </pic:cNvPicPr>
                  </pic:nvPicPr>
                  <pic:blipFill>
                    <a:blip r:embed="rId18"/>
                    <a:stretch>
                      <a:fillRect/>
                    </a:stretch>
                  </pic:blipFill>
                  <pic:spPr>
                    <a:xfrm>
                      <a:off x="0" y="0"/>
                      <a:ext cx="4281730" cy="4326424"/>
                    </a:xfrm>
                    <a:prstGeom prst="rect">
                      <a:avLst/>
                    </a:prstGeom>
                  </pic:spPr>
                </pic:pic>
              </a:graphicData>
            </a:graphic>
          </wp:inline>
        </w:drawing>
      </w:r>
    </w:p>
    <w:p w14:paraId="4C7627B5">
      <w:pPr>
        <w:autoSpaceDE w:val="0"/>
        <w:autoSpaceDN w:val="0"/>
        <w:spacing w:line="560" w:lineRule="exact"/>
        <w:ind w:firstLine="440"/>
        <w:jc w:val="left"/>
        <w:rPr>
          <w:rFonts w:hint="eastAsia" w:ascii="仿宋" w:hAnsi="仿宋" w:eastAsia="仿宋" w:cs="Times New Roman"/>
          <w:color w:val="FF0000"/>
          <w:spacing w:val="-11"/>
          <w:sz w:val="24"/>
        </w:rPr>
      </w:pPr>
      <w:r>
        <w:rPr>
          <w:rFonts w:hint="eastAsia" w:ascii="仿宋" w:hAnsi="仿宋" w:eastAsia="仿宋"/>
          <w:spacing w:val="-11"/>
          <w:sz w:val="22"/>
          <w:szCs w:val="21"/>
        </w:rPr>
        <w:drawing>
          <wp:anchor distT="0" distB="0" distL="114300" distR="114300" simplePos="0" relativeHeight="251666432" behindDoc="0" locked="0" layoutInCell="1" allowOverlap="1">
            <wp:simplePos x="0" y="0"/>
            <wp:positionH relativeFrom="column">
              <wp:posOffset>127635</wp:posOffset>
            </wp:positionH>
            <wp:positionV relativeFrom="paragraph">
              <wp:posOffset>572770</wp:posOffset>
            </wp:positionV>
            <wp:extent cx="4545330" cy="2556510"/>
            <wp:effectExtent l="0" t="0" r="0" b="0"/>
            <wp:wrapTopAndBottom/>
            <wp:docPr id="7" name="图片 7" descr="第2课时：助力员工走好职业生涯的每一个台阶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第2课时：助力员工走好职业生涯的每一个台阶_0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545330" cy="2556510"/>
                    </a:xfrm>
                    <a:prstGeom prst="rect">
                      <a:avLst/>
                    </a:prstGeom>
                  </pic:spPr>
                </pic:pic>
              </a:graphicData>
            </a:graphic>
          </wp:anchor>
        </w:drawing>
      </w:r>
      <w:r>
        <w:rPr>
          <w:rFonts w:hint="eastAsia" w:ascii="仿宋" w:hAnsi="仿宋" w:eastAsia="仿宋" w:cs="Times New Roman"/>
          <w:b/>
          <w:bCs/>
          <w:spacing w:val="-11"/>
          <w:sz w:val="24"/>
        </w:rPr>
        <w:t>3.案例环节设计</w:t>
      </w:r>
      <w:r>
        <w:rPr>
          <w:rFonts w:hint="eastAsia" w:ascii="仿宋" w:hAnsi="仿宋" w:eastAsia="仿宋" w:cs="Times New Roman"/>
          <w:color w:val="FF0000"/>
          <w:spacing w:val="-11"/>
          <w:sz w:val="24"/>
        </w:rPr>
        <w:t>（课前观看视频，附二维码视频资源）</w:t>
      </w:r>
    </w:p>
    <w:p w14:paraId="6BDE1AB3">
      <w:pPr>
        <w:autoSpaceDE w:val="0"/>
        <w:autoSpaceDN w:val="0"/>
        <w:spacing w:line="500" w:lineRule="exact"/>
        <w:ind w:left="119" w:right="98" w:firstLine="436"/>
        <w:jc w:val="left"/>
        <w:rPr>
          <w:rFonts w:hint="eastAsia" w:ascii="仿宋" w:hAnsi="仿宋" w:eastAsia="仿宋" w:cs="Times New Roman"/>
          <w:spacing w:val="-11"/>
          <w:sz w:val="24"/>
        </w:rPr>
      </w:pPr>
    </w:p>
    <w:p w14:paraId="42B33DF6">
      <w:pPr>
        <w:pStyle w:val="4"/>
        <w:spacing w:before="0" w:after="0" w:line="560" w:lineRule="exact"/>
        <w:ind w:firstLine="480"/>
        <w:rPr>
          <w:rFonts w:hint="eastAsia" w:ascii="楷体" w:hAnsi="楷体" w:eastAsia="楷体"/>
          <w:color w:val="FF0000"/>
          <w:sz w:val="24"/>
          <w:szCs w:val="24"/>
        </w:rPr>
      </w:pPr>
      <w:r>
        <w:rPr>
          <w:rFonts w:hint="eastAsia" w:ascii="楷体" w:hAnsi="楷体" w:eastAsia="楷体"/>
          <w:sz w:val="24"/>
          <w:szCs w:val="24"/>
        </w:rPr>
        <w:drawing>
          <wp:anchor distT="0" distB="0" distL="114300" distR="114300" simplePos="0" relativeHeight="251665408" behindDoc="0" locked="0" layoutInCell="1" allowOverlap="1">
            <wp:simplePos x="0" y="0"/>
            <wp:positionH relativeFrom="column">
              <wp:posOffset>-76835</wp:posOffset>
            </wp:positionH>
            <wp:positionV relativeFrom="paragraph">
              <wp:posOffset>171450</wp:posOffset>
            </wp:positionV>
            <wp:extent cx="5611495" cy="3158490"/>
            <wp:effectExtent l="0" t="0" r="0" b="0"/>
            <wp:wrapTopAndBottom/>
            <wp:docPr id="8" name="图片 8" descr="演示文稿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演示文稿2_01"/>
                    <pic:cNvPicPr>
                      <a:picLocks noChangeAspect="1"/>
                    </pic:cNvPicPr>
                  </pic:nvPicPr>
                  <pic:blipFill>
                    <a:blip r:embed="rId20"/>
                    <a:stretch>
                      <a:fillRect/>
                    </a:stretch>
                  </pic:blipFill>
                  <pic:spPr>
                    <a:xfrm>
                      <a:off x="0" y="0"/>
                      <a:ext cx="5611495" cy="3158490"/>
                    </a:xfrm>
                    <a:prstGeom prst="rect">
                      <a:avLst/>
                    </a:prstGeom>
                  </pic:spPr>
                </pic:pic>
              </a:graphicData>
            </a:graphic>
          </wp:anchor>
        </w:drawing>
      </w:r>
      <w:r>
        <w:rPr>
          <w:rFonts w:hint="eastAsia" w:ascii="楷体" w:hAnsi="楷体" w:eastAsia="楷体"/>
          <w:sz w:val="24"/>
          <w:szCs w:val="24"/>
        </w:rPr>
        <w:t>（六）案例教学效果</w:t>
      </w:r>
      <w:r>
        <w:rPr>
          <w:rFonts w:hint="eastAsia" w:ascii="楷体" w:hAnsi="楷体" w:eastAsia="楷体"/>
          <w:color w:val="FF0000"/>
          <w:sz w:val="24"/>
          <w:szCs w:val="24"/>
        </w:rPr>
        <w:t>（内容需要改进）</w:t>
      </w:r>
    </w:p>
    <w:p w14:paraId="715CE6CC">
      <w:pPr>
        <w:autoSpaceDE w:val="0"/>
        <w:autoSpaceDN w:val="0"/>
        <w:spacing w:line="500" w:lineRule="exact"/>
        <w:ind w:left="119" w:right="98" w:firstLine="480"/>
        <w:rPr>
          <w:rFonts w:hint="eastAsia"/>
          <w:sz w:val="24"/>
          <w:szCs w:val="28"/>
        </w:rPr>
      </w:pPr>
      <w:r>
        <w:rPr>
          <w:rFonts w:hint="eastAsia"/>
          <w:sz w:val="24"/>
          <w:szCs w:val="28"/>
        </w:rPr>
        <w:t>课程思政与专业劳育的</w:t>
      </w:r>
      <w:r>
        <w:rPr>
          <w:sz w:val="24"/>
          <w:szCs w:val="28"/>
        </w:rPr>
        <w:t>教学成果显著，</w:t>
      </w:r>
      <w:r>
        <w:rPr>
          <w:rFonts w:hint="eastAsia"/>
          <w:sz w:val="24"/>
          <w:szCs w:val="28"/>
        </w:rPr>
        <w:t>通过构建“三阶段四角度五步骤”课程思政育人体系，共促知识与价值内化的新型人才培养模式。关注学生学习效果,从学生线上线下学习过程的体验和感受出发，将课程思政育人目标融入学生素养达成目标中，并落实到教学全过程。学生对</w:t>
      </w:r>
      <w:r>
        <w:rPr>
          <w:sz w:val="24"/>
          <w:szCs w:val="28"/>
        </w:rPr>
        <w:t>黄河所承载的文化价值和精神内涵感受到</w:t>
      </w:r>
      <w:r>
        <w:rPr>
          <w:rFonts w:hint="eastAsia"/>
          <w:sz w:val="24"/>
          <w:szCs w:val="28"/>
        </w:rPr>
        <w:t>强烈的</w:t>
      </w:r>
      <w:r>
        <w:rPr>
          <w:sz w:val="24"/>
          <w:szCs w:val="28"/>
        </w:rPr>
        <w:t>情感共振，</w:t>
      </w:r>
      <w:r>
        <w:rPr>
          <w:rFonts w:hint="eastAsia"/>
          <w:sz w:val="24"/>
          <w:szCs w:val="28"/>
        </w:rPr>
        <w:t>达成在劳动者视角的德育素养、工匠精神、企业家社会责任等的培养目标。</w:t>
      </w:r>
    </w:p>
    <w:p w14:paraId="140F178C">
      <w:pPr>
        <w:autoSpaceDE w:val="0"/>
        <w:autoSpaceDN w:val="0"/>
        <w:spacing w:line="500" w:lineRule="exact"/>
        <w:ind w:left="119" w:right="98" w:firstLine="436"/>
        <w:jc w:val="left"/>
        <w:rPr>
          <w:rFonts w:hint="eastAsia" w:ascii="仿宋" w:hAnsi="仿宋" w:eastAsia="仿宋" w:cs="Times New Roman"/>
          <w:spacing w:val="-11"/>
          <w:sz w:val="24"/>
        </w:rPr>
      </w:pPr>
    </w:p>
    <w:p w14:paraId="22071E04">
      <w:pPr>
        <w:autoSpaceDE w:val="0"/>
        <w:autoSpaceDN w:val="0"/>
        <w:spacing w:line="500" w:lineRule="exact"/>
        <w:ind w:left="119" w:right="98" w:firstLine="436"/>
        <w:jc w:val="left"/>
        <w:rPr>
          <w:rFonts w:hint="eastAsia" w:ascii="仿宋" w:hAnsi="仿宋" w:eastAsia="仿宋" w:cs="Times New Roman"/>
          <w:spacing w:val="-11"/>
          <w:sz w:val="24"/>
        </w:rPr>
      </w:pPr>
    </w:p>
    <w:p w14:paraId="06175639">
      <w:pPr>
        <w:autoSpaceDE w:val="0"/>
        <w:autoSpaceDN w:val="0"/>
        <w:spacing w:line="500" w:lineRule="exact"/>
        <w:ind w:left="119" w:right="98" w:firstLine="436"/>
        <w:jc w:val="left"/>
        <w:rPr>
          <w:rFonts w:hint="eastAsia" w:ascii="仿宋" w:hAnsi="仿宋" w:eastAsia="仿宋" w:cs="Times New Roman"/>
          <w:spacing w:val="-11"/>
          <w:sz w:val="24"/>
        </w:rPr>
      </w:pPr>
    </w:p>
    <w:p w14:paraId="48538938">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r>
        <w:rPr>
          <w:rFonts w:hint="eastAsia" w:ascii="仿宋" w:hAnsi="仿宋" w:eastAsia="仿宋" w:cs="Times New Roman"/>
          <w:spacing w:val="-11"/>
          <w:sz w:val="24"/>
        </w:rPr>
        <w:t>(案例来源：山东管理学院教师安娜)</w:t>
      </w:r>
    </w:p>
    <w:p w14:paraId="47C4123E">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47FCB9C0">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456EE3CD">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4A25FC46">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2E4BEA3D">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3165F3B6">
      <w:pPr>
        <w:autoSpaceDE w:val="0"/>
        <w:autoSpaceDN w:val="0"/>
        <w:spacing w:line="500" w:lineRule="exact"/>
        <w:ind w:left="118" w:leftChars="37" w:right="98" w:firstLine="763" w:firstLineChars="350"/>
        <w:jc w:val="right"/>
        <w:rPr>
          <w:rFonts w:hint="eastAsia" w:ascii="仿宋" w:hAnsi="仿宋" w:eastAsia="仿宋" w:cs="Times New Roman"/>
          <w:spacing w:val="-11"/>
          <w:sz w:val="24"/>
        </w:rPr>
      </w:pPr>
    </w:p>
    <w:p w14:paraId="2F4366E2">
      <w:pPr>
        <w:ind w:firstLine="643"/>
        <w:jc w:val="center"/>
        <w:rPr>
          <w:rFonts w:hint="eastAsia" w:eastAsia="方正小标宋简体" w:asciiTheme="majorHAnsi" w:hAnsiTheme="majorHAnsi" w:cstheme="majorBidi"/>
          <w:b/>
          <w:kern w:val="44"/>
          <w:szCs w:val="32"/>
        </w:rPr>
      </w:pPr>
      <w:r>
        <w:rPr>
          <w:rFonts w:hint="eastAsia" w:eastAsia="方正小标宋简体" w:asciiTheme="majorHAnsi" w:hAnsiTheme="majorHAnsi" w:cstheme="majorBidi"/>
          <w:b/>
          <w:kern w:val="44"/>
          <w:szCs w:val="32"/>
        </w:rPr>
        <w:t>案例二：《财务会计》课程中劳动教育元素的挖掘与案例设计——以“会计信息质量要求”为例</w:t>
      </w:r>
    </w:p>
    <w:p w14:paraId="47CEB6CE">
      <w:pPr>
        <w:pStyle w:val="3"/>
        <w:ind w:firstLine="480"/>
        <w:rPr>
          <w:rFonts w:hint="eastAsia" w:ascii="黑体" w:eastAsia="黑体"/>
          <w:sz w:val="24"/>
          <w:szCs w:val="24"/>
        </w:rPr>
      </w:pPr>
      <w:r>
        <w:rPr>
          <w:rFonts w:hint="eastAsia" w:ascii="黑体" w:eastAsia="黑体"/>
          <w:sz w:val="24"/>
          <w:szCs w:val="24"/>
        </w:rPr>
        <w:t>一、依托课程简介</w:t>
      </w:r>
    </w:p>
    <w:p w14:paraId="6047DA58">
      <w:pPr>
        <w:pStyle w:val="4"/>
        <w:spacing w:before="0" w:after="0" w:line="560" w:lineRule="exact"/>
        <w:ind w:firstLine="438"/>
        <w:rPr>
          <w:rFonts w:hint="eastAsia" w:ascii="楷体_GB2312" w:hAnsi="楷体_GB2312" w:eastAsia="楷体_GB2312" w:cs="楷体_GB2312"/>
          <w:b/>
          <w:bCs w:val="0"/>
          <w:spacing w:val="-11"/>
          <w:sz w:val="24"/>
          <w:szCs w:val="28"/>
        </w:rPr>
      </w:pPr>
      <w:r>
        <w:rPr>
          <w:rFonts w:hint="eastAsia" w:ascii="楷体_GB2312" w:hAnsi="楷体_GB2312" w:eastAsia="楷体_GB2312" w:cs="楷体_GB2312"/>
          <w:b/>
          <w:bCs w:val="0"/>
          <w:spacing w:val="-11"/>
          <w:sz w:val="24"/>
          <w:szCs w:val="28"/>
        </w:rPr>
        <w:t>（一）“</w:t>
      </w:r>
      <w:r>
        <w:rPr>
          <w:rFonts w:hint="eastAsia" w:ascii="黑体" w:hAnsi="黑体" w:eastAsia="黑体" w:cs="黑体"/>
          <w:sz w:val="24"/>
        </w:rPr>
        <w:t>财务会计</w:t>
      </w:r>
      <w:r>
        <w:rPr>
          <w:rFonts w:hint="eastAsia" w:ascii="楷体_GB2312" w:hAnsi="楷体_GB2312" w:eastAsia="楷体_GB2312" w:cs="楷体_GB2312"/>
          <w:b/>
          <w:bCs w:val="0"/>
          <w:spacing w:val="-11"/>
          <w:sz w:val="24"/>
          <w:szCs w:val="28"/>
        </w:rPr>
        <w:t>”</w:t>
      </w:r>
      <w:r>
        <w:rPr>
          <w:rFonts w:hint="eastAsia" w:ascii="楷体_GB2312" w:hAnsi="楷体_GB2312" w:eastAsia="楷体_GB2312" w:cs="楷体_GB2312"/>
          <w:b/>
          <w:spacing w:val="-11"/>
          <w:sz w:val="24"/>
          <w:szCs w:val="28"/>
        </w:rPr>
        <w:t>课程基本信息</w:t>
      </w:r>
    </w:p>
    <w:p w14:paraId="3F90562F">
      <w:pPr>
        <w:spacing w:line="560" w:lineRule="exact"/>
        <w:ind w:firstLine="480"/>
        <w:rPr>
          <w:rFonts w:hint="eastAsia"/>
          <w:sz w:val="24"/>
          <w:szCs w:val="28"/>
        </w:rPr>
      </w:pPr>
      <w:r>
        <w:rPr>
          <w:rFonts w:hint="eastAsia"/>
          <w:sz w:val="24"/>
          <w:szCs w:val="28"/>
        </w:rPr>
        <w:t>课程名称：财务会计</w:t>
      </w:r>
    </w:p>
    <w:p w14:paraId="1F47185A">
      <w:pPr>
        <w:spacing w:line="560" w:lineRule="exact"/>
        <w:ind w:firstLine="480"/>
        <w:rPr>
          <w:rFonts w:hint="eastAsia"/>
          <w:sz w:val="24"/>
          <w:szCs w:val="28"/>
        </w:rPr>
      </w:pPr>
      <w:r>
        <w:rPr>
          <w:rFonts w:hint="eastAsia"/>
          <w:sz w:val="24"/>
          <w:szCs w:val="28"/>
        </w:rPr>
        <w:t>课程类型（性质）：专业教育课程</w:t>
      </w:r>
    </w:p>
    <w:p w14:paraId="057DEEEB">
      <w:pPr>
        <w:spacing w:line="560" w:lineRule="exact"/>
        <w:ind w:firstLine="480"/>
        <w:rPr>
          <w:rFonts w:hint="eastAsia"/>
          <w:sz w:val="24"/>
          <w:szCs w:val="28"/>
        </w:rPr>
      </w:pPr>
      <w:r>
        <w:rPr>
          <w:rFonts w:hint="eastAsia"/>
          <w:sz w:val="24"/>
          <w:szCs w:val="28"/>
        </w:rPr>
        <w:t>适用学科专业：管理学、经济学</w:t>
      </w:r>
    </w:p>
    <w:p w14:paraId="4B436604">
      <w:pPr>
        <w:pStyle w:val="4"/>
        <w:spacing w:before="0" w:after="0" w:line="560" w:lineRule="exact"/>
        <w:ind w:firstLine="438"/>
        <w:rPr>
          <w:rFonts w:hint="eastAsia" w:ascii="楷体_GB2312" w:hAnsi="楷体_GB2312" w:eastAsia="楷体_GB2312" w:cs="楷体_GB2312"/>
          <w:b/>
          <w:bCs w:val="0"/>
          <w:color w:val="FF0000"/>
          <w:spacing w:val="-11"/>
          <w:sz w:val="24"/>
          <w:szCs w:val="28"/>
        </w:rPr>
      </w:pPr>
      <w:r>
        <w:rPr>
          <w:rFonts w:hint="eastAsia" w:ascii="楷体_GB2312" w:hAnsi="楷体_GB2312" w:eastAsia="楷体_GB2312" w:cs="楷体_GB2312"/>
          <w:b/>
          <w:bCs w:val="0"/>
          <w:spacing w:val="-11"/>
          <w:sz w:val="24"/>
          <w:szCs w:val="28"/>
        </w:rPr>
        <w:t>（二）“</w:t>
      </w:r>
      <w:r>
        <w:rPr>
          <w:rFonts w:hint="eastAsia" w:ascii="黑体" w:hAnsi="黑体" w:eastAsia="黑体" w:cs="黑体"/>
          <w:sz w:val="24"/>
        </w:rPr>
        <w:t>财务会计</w:t>
      </w:r>
      <w:r>
        <w:rPr>
          <w:rFonts w:hint="eastAsia" w:ascii="楷体_GB2312" w:hAnsi="楷体_GB2312" w:eastAsia="楷体_GB2312" w:cs="楷体_GB2312"/>
          <w:b/>
          <w:bCs w:val="0"/>
          <w:spacing w:val="-11"/>
          <w:sz w:val="24"/>
          <w:szCs w:val="28"/>
        </w:rPr>
        <w:t>”课程概况</w:t>
      </w:r>
      <w:r>
        <w:rPr>
          <w:rFonts w:hint="eastAsia" w:ascii="楷体_GB2312" w:hAnsi="楷体_GB2312" w:eastAsia="楷体_GB2312" w:cs="楷体_GB2312"/>
          <w:b/>
          <w:bCs w:val="0"/>
          <w:color w:val="FF0000"/>
          <w:spacing w:val="-11"/>
          <w:sz w:val="24"/>
          <w:szCs w:val="28"/>
        </w:rPr>
        <w:t>（内容需要改进）</w:t>
      </w:r>
    </w:p>
    <w:p w14:paraId="73AD8D94">
      <w:pPr>
        <w:pStyle w:val="4"/>
        <w:spacing w:before="0" w:after="0" w:line="560" w:lineRule="exact"/>
        <w:ind w:firstLine="438"/>
        <w:rPr>
          <w:rFonts w:hint="eastAsia" w:ascii="楷体_GB2312" w:hAnsi="楷体_GB2312" w:eastAsia="楷体_GB2312" w:cs="楷体_GB2312"/>
          <w:b/>
          <w:bCs w:val="0"/>
          <w:color w:val="FF0000"/>
          <w:spacing w:val="-11"/>
          <w:sz w:val="24"/>
          <w:szCs w:val="28"/>
        </w:rPr>
      </w:pPr>
    </w:p>
    <w:p w14:paraId="641D56B5">
      <w:pPr>
        <w:pStyle w:val="4"/>
        <w:spacing w:before="0" w:after="0" w:line="560" w:lineRule="exact"/>
        <w:ind w:firstLine="480"/>
        <w:rPr>
          <w:rFonts w:hint="eastAsia" w:ascii="黑体" w:hAnsi="黑体" w:eastAsia="黑体" w:cs="黑体"/>
          <w:sz w:val="24"/>
        </w:rPr>
      </w:pPr>
      <w:r>
        <w:rPr>
          <w:rFonts w:hint="eastAsia" w:ascii="黑体" w:hAnsi="黑体" w:eastAsia="黑体" w:cs="黑体"/>
          <w:sz w:val="24"/>
        </w:rPr>
        <w:t>（三）课程预期目标</w:t>
      </w:r>
    </w:p>
    <w:p w14:paraId="549445FA">
      <w:pPr>
        <w:spacing w:line="560" w:lineRule="exact"/>
        <w:ind w:firstLine="480"/>
        <w:rPr>
          <w:rFonts w:hint="eastAsia"/>
          <w:sz w:val="24"/>
          <w:szCs w:val="28"/>
        </w:rPr>
      </w:pPr>
      <w:r>
        <w:rPr>
          <w:rFonts w:hint="eastAsia"/>
          <w:sz w:val="24"/>
          <w:szCs w:val="28"/>
        </w:rPr>
        <w:t>1．知识教学目标</w:t>
      </w:r>
    </w:p>
    <w:p w14:paraId="574D7B0F">
      <w:pPr>
        <w:spacing w:line="560" w:lineRule="exact"/>
        <w:ind w:firstLine="480"/>
        <w:rPr>
          <w:rFonts w:hint="eastAsia"/>
          <w:sz w:val="24"/>
          <w:szCs w:val="28"/>
        </w:rPr>
      </w:pPr>
      <w:r>
        <w:rPr>
          <w:rFonts w:hint="eastAsia"/>
          <w:sz w:val="24"/>
          <w:szCs w:val="28"/>
        </w:rPr>
        <w:t>①理解企业财务会计的基本概念和基本理论。</w:t>
      </w:r>
    </w:p>
    <w:p w14:paraId="5276D639">
      <w:pPr>
        <w:spacing w:line="560" w:lineRule="exact"/>
        <w:ind w:firstLine="480"/>
        <w:rPr>
          <w:rFonts w:hint="eastAsia"/>
          <w:sz w:val="24"/>
          <w:szCs w:val="28"/>
        </w:rPr>
      </w:pPr>
      <w:r>
        <w:rPr>
          <w:rFonts w:hint="eastAsia"/>
          <w:sz w:val="24"/>
          <w:szCs w:val="28"/>
        </w:rPr>
        <w:t>②掌握企业财务会计核算的基本目标、基本要求、账户体系和报告体系。</w:t>
      </w:r>
    </w:p>
    <w:p w14:paraId="34053880">
      <w:pPr>
        <w:spacing w:line="560" w:lineRule="exact"/>
        <w:ind w:firstLine="480"/>
        <w:rPr>
          <w:rFonts w:hint="eastAsia"/>
          <w:sz w:val="24"/>
          <w:szCs w:val="28"/>
        </w:rPr>
      </w:pPr>
      <w:r>
        <w:rPr>
          <w:rFonts w:hint="eastAsia"/>
          <w:sz w:val="24"/>
          <w:szCs w:val="28"/>
        </w:rPr>
        <w:t>③掌握企业财务会计核算的基本过程、程序和基本核算方法。</w:t>
      </w:r>
    </w:p>
    <w:p w14:paraId="475560A3">
      <w:pPr>
        <w:spacing w:line="560" w:lineRule="exact"/>
        <w:ind w:firstLine="480"/>
        <w:rPr>
          <w:rFonts w:hint="eastAsia"/>
          <w:sz w:val="24"/>
          <w:szCs w:val="28"/>
        </w:rPr>
      </w:pPr>
      <w:r>
        <w:rPr>
          <w:rFonts w:hint="eastAsia"/>
          <w:sz w:val="24"/>
          <w:szCs w:val="28"/>
        </w:rPr>
        <w:t>2.能力培养目标</w:t>
      </w:r>
    </w:p>
    <w:p w14:paraId="31693AC3">
      <w:pPr>
        <w:spacing w:line="560" w:lineRule="exact"/>
        <w:ind w:firstLine="480"/>
        <w:rPr>
          <w:rFonts w:hint="eastAsia"/>
          <w:sz w:val="24"/>
          <w:szCs w:val="28"/>
        </w:rPr>
      </w:pPr>
      <w:r>
        <w:rPr>
          <w:rFonts w:hint="eastAsia"/>
          <w:sz w:val="24"/>
          <w:szCs w:val="28"/>
        </w:rPr>
        <w:t>①能联系实际掌握财务会计核算的一般操作方法。</w:t>
      </w:r>
    </w:p>
    <w:p w14:paraId="2D0013BF">
      <w:pPr>
        <w:spacing w:line="560" w:lineRule="exact"/>
        <w:ind w:firstLine="480"/>
        <w:rPr>
          <w:rFonts w:hint="eastAsia"/>
          <w:sz w:val="24"/>
          <w:szCs w:val="28"/>
        </w:rPr>
      </w:pPr>
      <w:r>
        <w:rPr>
          <w:rFonts w:hint="eastAsia"/>
          <w:sz w:val="24"/>
          <w:szCs w:val="28"/>
        </w:rPr>
        <w:t>②能正确使用企业会计核算中常用的账户。</w:t>
      </w:r>
    </w:p>
    <w:p w14:paraId="7702561B">
      <w:pPr>
        <w:spacing w:line="560" w:lineRule="exact"/>
        <w:ind w:firstLine="480"/>
        <w:rPr>
          <w:rFonts w:hint="eastAsia"/>
          <w:sz w:val="24"/>
          <w:szCs w:val="28"/>
        </w:rPr>
      </w:pPr>
      <w:r>
        <w:rPr>
          <w:rFonts w:hint="eastAsia"/>
          <w:sz w:val="24"/>
          <w:szCs w:val="28"/>
        </w:rPr>
        <w:t>③能按要求正确核算企业的主要经济业务。</w:t>
      </w:r>
    </w:p>
    <w:p w14:paraId="2FAE5434">
      <w:pPr>
        <w:spacing w:line="560" w:lineRule="exact"/>
        <w:ind w:firstLine="480"/>
        <w:rPr>
          <w:rFonts w:hint="eastAsia"/>
          <w:sz w:val="24"/>
          <w:szCs w:val="28"/>
        </w:rPr>
      </w:pPr>
      <w:r>
        <w:rPr>
          <w:rFonts w:hint="eastAsia"/>
          <w:sz w:val="24"/>
          <w:szCs w:val="28"/>
        </w:rPr>
        <w:t>④能正确计算会计核算的主要指标，能运用会计核算资料对企业财务状况进行初步分析。</w:t>
      </w:r>
    </w:p>
    <w:p w14:paraId="4DE1153F">
      <w:pPr>
        <w:spacing w:line="560" w:lineRule="exact"/>
        <w:ind w:firstLine="480"/>
        <w:rPr>
          <w:rFonts w:hint="eastAsia"/>
          <w:sz w:val="24"/>
          <w:szCs w:val="28"/>
        </w:rPr>
      </w:pPr>
      <w:r>
        <w:rPr>
          <w:rFonts w:hint="eastAsia"/>
          <w:sz w:val="24"/>
          <w:szCs w:val="28"/>
        </w:rPr>
        <w:t>⑤能正确编制资产负债表、利润表等主要会计报表。</w:t>
      </w:r>
    </w:p>
    <w:p w14:paraId="4EF9013B">
      <w:pPr>
        <w:spacing w:line="560" w:lineRule="exact"/>
        <w:ind w:firstLine="480"/>
        <w:rPr>
          <w:rFonts w:hint="eastAsia"/>
          <w:sz w:val="24"/>
          <w:szCs w:val="28"/>
        </w:rPr>
      </w:pPr>
      <w:r>
        <w:rPr>
          <w:rFonts w:hint="eastAsia"/>
          <w:sz w:val="24"/>
          <w:szCs w:val="28"/>
        </w:rPr>
        <w:t>⑥具有更新知识、继续学习深造的能力和适应会计改革发展需要的能力。</w:t>
      </w:r>
    </w:p>
    <w:p w14:paraId="41B10B20">
      <w:pPr>
        <w:spacing w:line="560" w:lineRule="exact"/>
        <w:ind w:firstLine="480"/>
        <w:rPr>
          <w:rFonts w:hint="eastAsia"/>
          <w:sz w:val="24"/>
          <w:szCs w:val="28"/>
        </w:rPr>
      </w:pPr>
      <w:r>
        <w:rPr>
          <w:rFonts w:hint="eastAsia"/>
          <w:sz w:val="24"/>
          <w:szCs w:val="28"/>
        </w:rPr>
        <w:t>3.思想教育目标</w:t>
      </w:r>
    </w:p>
    <w:p w14:paraId="4004AA89">
      <w:pPr>
        <w:spacing w:line="560" w:lineRule="exact"/>
        <w:ind w:firstLine="480"/>
        <w:rPr>
          <w:rFonts w:hint="eastAsia"/>
          <w:sz w:val="24"/>
          <w:szCs w:val="28"/>
        </w:rPr>
      </w:pPr>
      <w:r>
        <w:rPr>
          <w:rFonts w:hint="eastAsia"/>
          <w:sz w:val="24"/>
          <w:szCs w:val="28"/>
        </w:rPr>
        <w:t>①培养学生自觉维护国家利益、社会利益、集体利益的职业意识。</w:t>
      </w:r>
    </w:p>
    <w:p w14:paraId="0E0F106E">
      <w:pPr>
        <w:spacing w:line="560" w:lineRule="exact"/>
        <w:ind w:firstLine="480"/>
        <w:rPr>
          <w:rFonts w:hint="eastAsia"/>
          <w:sz w:val="24"/>
          <w:szCs w:val="28"/>
        </w:rPr>
      </w:pPr>
      <w:r>
        <w:rPr>
          <w:rFonts w:hint="eastAsia"/>
          <w:sz w:val="24"/>
          <w:szCs w:val="28"/>
        </w:rPr>
        <w:t>②培养学生认真、细致、严谨的工作作风和敬业精神，形成良好的职业习惯。</w:t>
      </w:r>
    </w:p>
    <w:p w14:paraId="72F60A73">
      <w:pPr>
        <w:spacing w:line="560" w:lineRule="exact"/>
        <w:ind w:firstLine="480"/>
        <w:rPr>
          <w:rFonts w:hint="eastAsia"/>
          <w:sz w:val="24"/>
          <w:szCs w:val="28"/>
        </w:rPr>
      </w:pPr>
      <w:r>
        <w:rPr>
          <w:rFonts w:hint="eastAsia"/>
          <w:sz w:val="24"/>
          <w:szCs w:val="28"/>
        </w:rPr>
        <w:t>③使学生具有求实创新的意识。</w:t>
      </w:r>
    </w:p>
    <w:p w14:paraId="63FBCA59">
      <w:pPr>
        <w:spacing w:line="560" w:lineRule="exact"/>
        <w:ind w:firstLine="480"/>
        <w:rPr>
          <w:rFonts w:hint="eastAsia"/>
          <w:sz w:val="24"/>
          <w:szCs w:val="28"/>
        </w:rPr>
      </w:pPr>
      <w:r>
        <w:rPr>
          <w:rFonts w:hint="eastAsia"/>
          <w:sz w:val="24"/>
          <w:szCs w:val="28"/>
        </w:rPr>
        <w:t>④培养学生遵纪守法的思想观念和廉洁自律的会计品格，加强学生的职业道德意识，全面提高学生的自身素质。</w:t>
      </w:r>
    </w:p>
    <w:p w14:paraId="4D8E99D0">
      <w:pPr>
        <w:spacing w:line="560" w:lineRule="exact"/>
        <w:ind w:firstLine="480"/>
        <w:rPr>
          <w:rFonts w:hint="eastAsia"/>
          <w:sz w:val="24"/>
          <w:szCs w:val="28"/>
        </w:rPr>
      </w:pPr>
      <w:r>
        <w:rPr>
          <w:rFonts w:hint="eastAsia"/>
          <w:sz w:val="24"/>
          <w:szCs w:val="28"/>
        </w:rPr>
        <w:t>4.劳动教育目标</w:t>
      </w:r>
    </w:p>
    <w:p w14:paraId="72AFA676">
      <w:pPr>
        <w:spacing w:line="560" w:lineRule="exact"/>
        <w:ind w:firstLine="480"/>
        <w:rPr>
          <w:rFonts w:hint="eastAsia"/>
          <w:sz w:val="24"/>
          <w:szCs w:val="28"/>
        </w:rPr>
      </w:pPr>
      <w:r>
        <w:rPr>
          <w:rFonts w:hint="eastAsia"/>
          <w:sz w:val="24"/>
          <w:szCs w:val="28"/>
        </w:rPr>
        <w:t>①素质目标：培养学生亲力亲为、吃苦耐劳、坚韧勇毅的劳动认知；培养学生爱岗敬业、精益求精、创新创业、团队协作的职业素养；培养学生理实结合、实践出真知的职业信仰。引导学生崇尚劳动、尊重劳动、热爱劳动，帮助学生树立正确的劳动价值观。</w:t>
      </w:r>
    </w:p>
    <w:p w14:paraId="5791FE44">
      <w:pPr>
        <w:spacing w:line="560" w:lineRule="exact"/>
        <w:ind w:firstLine="480"/>
        <w:rPr>
          <w:rFonts w:hint="eastAsia"/>
          <w:sz w:val="24"/>
          <w:szCs w:val="28"/>
        </w:rPr>
      </w:pPr>
      <w:r>
        <w:rPr>
          <w:rFonts w:hint="eastAsia"/>
          <w:sz w:val="24"/>
          <w:szCs w:val="28"/>
        </w:rPr>
        <w:t>②知识目标：培养学生敬业、主动、谦虚、学习、责任、执行、双赢、包容、攻坚、克难、自信、舍得、品格、绩效、反省、服务、协作、智慧、奉献、竞争、专注、感恩、形象、发展24种职业素养，并让学生内化于心，付诸实践。</w:t>
      </w:r>
    </w:p>
    <w:p w14:paraId="16D46B38">
      <w:pPr>
        <w:spacing w:line="560" w:lineRule="exact"/>
        <w:ind w:firstLine="480"/>
        <w:rPr>
          <w:rFonts w:hint="eastAsia"/>
          <w:sz w:val="24"/>
          <w:szCs w:val="28"/>
        </w:rPr>
      </w:pPr>
      <w:r>
        <w:rPr>
          <w:rFonts w:hint="eastAsia"/>
          <w:sz w:val="24"/>
          <w:szCs w:val="28"/>
        </w:rPr>
        <w:t>③能力目标：让学生能将劳动精神与专业实训、岗位实习结合起来，提升与内化职业基本素养；实现“学生”到“职业人”的华丽蜕变，适应社会发展，成为各行各业出色的劳动者。</w:t>
      </w:r>
    </w:p>
    <w:p w14:paraId="6E220820">
      <w:pPr>
        <w:pStyle w:val="4"/>
        <w:spacing w:before="0" w:after="0" w:line="560" w:lineRule="exact"/>
        <w:ind w:firstLine="480"/>
        <w:rPr>
          <w:rFonts w:hint="eastAsia" w:ascii="黑体" w:hAnsi="黑体" w:eastAsia="黑体" w:cs="黑体"/>
          <w:sz w:val="24"/>
        </w:rPr>
      </w:pPr>
      <w:r>
        <w:rPr>
          <w:rFonts w:hint="eastAsia" w:ascii="黑体" w:hAnsi="黑体" w:eastAsia="黑体" w:cs="黑体"/>
          <w:sz w:val="24"/>
        </w:rPr>
        <w:t>（四）课程内容梗概</w:t>
      </w:r>
    </w:p>
    <w:p w14:paraId="2A9EAA17">
      <w:pPr>
        <w:spacing w:line="560" w:lineRule="exact"/>
        <w:ind w:firstLine="482"/>
        <w:rPr>
          <w:rFonts w:hint="eastAsia"/>
          <w:b/>
          <w:sz w:val="24"/>
          <w:szCs w:val="24"/>
        </w:rPr>
      </w:pPr>
      <w:r>
        <w:rPr>
          <w:rFonts w:hint="eastAsia"/>
          <w:b/>
          <w:sz w:val="24"/>
          <w:szCs w:val="24"/>
        </w:rPr>
        <w:t>第一章 概述 </w:t>
      </w:r>
    </w:p>
    <w:p w14:paraId="23EFEE94">
      <w:pPr>
        <w:spacing w:line="560" w:lineRule="exact"/>
        <w:ind w:firstLine="480"/>
        <w:rPr>
          <w:rFonts w:hint="eastAsia"/>
          <w:sz w:val="24"/>
          <w:szCs w:val="24"/>
        </w:rPr>
      </w:pPr>
      <w:r>
        <w:rPr>
          <w:rFonts w:hint="eastAsia"/>
          <w:sz w:val="24"/>
          <w:szCs w:val="24"/>
        </w:rPr>
        <w:t>第一节 会计概念、职能和目标</w:t>
      </w:r>
    </w:p>
    <w:p w14:paraId="46A05C69">
      <w:pPr>
        <w:spacing w:line="560" w:lineRule="exact"/>
        <w:ind w:firstLine="480"/>
        <w:rPr>
          <w:rFonts w:hint="eastAsia"/>
          <w:sz w:val="24"/>
          <w:szCs w:val="24"/>
        </w:rPr>
      </w:pPr>
      <w:r>
        <w:rPr>
          <w:rFonts w:hint="eastAsia"/>
          <w:sz w:val="24"/>
          <w:szCs w:val="24"/>
        </w:rPr>
        <w:t>第二节 会计基本假设和会计基础</w:t>
      </w:r>
    </w:p>
    <w:p w14:paraId="11060E46">
      <w:pPr>
        <w:spacing w:line="560" w:lineRule="exact"/>
        <w:ind w:firstLine="480"/>
        <w:rPr>
          <w:rFonts w:hint="eastAsia"/>
          <w:sz w:val="24"/>
          <w:szCs w:val="24"/>
        </w:rPr>
      </w:pPr>
      <w:r>
        <w:rPr>
          <w:rFonts w:hint="eastAsia"/>
          <w:sz w:val="24"/>
          <w:szCs w:val="24"/>
        </w:rPr>
        <w:t>第三节 会计信息质量要求</w:t>
      </w:r>
    </w:p>
    <w:p w14:paraId="305E5D03">
      <w:pPr>
        <w:spacing w:line="560" w:lineRule="exact"/>
        <w:ind w:firstLine="480"/>
        <w:rPr>
          <w:rFonts w:hint="eastAsia"/>
          <w:sz w:val="24"/>
          <w:szCs w:val="24"/>
        </w:rPr>
      </w:pPr>
      <w:r>
        <w:rPr>
          <w:rFonts w:hint="eastAsia"/>
          <w:sz w:val="24"/>
          <w:szCs w:val="24"/>
        </w:rPr>
        <w:t>第四节 会计职业道德</w:t>
      </w:r>
    </w:p>
    <w:p w14:paraId="2F22FDCE">
      <w:pPr>
        <w:spacing w:line="560" w:lineRule="exact"/>
        <w:ind w:firstLine="480"/>
        <w:rPr>
          <w:rFonts w:hint="eastAsia"/>
          <w:sz w:val="24"/>
          <w:szCs w:val="24"/>
        </w:rPr>
      </w:pPr>
      <w:r>
        <w:rPr>
          <w:rFonts w:hint="eastAsia"/>
          <w:sz w:val="24"/>
          <w:szCs w:val="24"/>
        </w:rPr>
        <w:t>第五节 内部控制基础</w:t>
      </w:r>
    </w:p>
    <w:p w14:paraId="6C6F86C6">
      <w:pPr>
        <w:spacing w:line="560" w:lineRule="exact"/>
        <w:ind w:firstLine="482"/>
        <w:rPr>
          <w:rFonts w:hint="eastAsia"/>
          <w:b/>
          <w:sz w:val="24"/>
          <w:szCs w:val="24"/>
        </w:rPr>
      </w:pPr>
      <w:r>
        <w:rPr>
          <w:rFonts w:hint="eastAsia"/>
          <w:b/>
          <w:sz w:val="24"/>
          <w:szCs w:val="24"/>
        </w:rPr>
        <w:t>第二章 会计基础</w:t>
      </w:r>
    </w:p>
    <w:p w14:paraId="0D9249F3">
      <w:pPr>
        <w:spacing w:line="560" w:lineRule="exact"/>
        <w:ind w:firstLine="480"/>
        <w:rPr>
          <w:rFonts w:hint="eastAsia"/>
          <w:sz w:val="24"/>
          <w:szCs w:val="24"/>
        </w:rPr>
      </w:pPr>
      <w:r>
        <w:rPr>
          <w:rFonts w:hint="eastAsia"/>
          <w:sz w:val="24"/>
          <w:szCs w:val="24"/>
        </w:rPr>
        <w:t>第一节 会计要素及其确认与计量</w:t>
      </w:r>
    </w:p>
    <w:p w14:paraId="402BB808">
      <w:pPr>
        <w:spacing w:line="560" w:lineRule="exact"/>
        <w:ind w:firstLine="480"/>
        <w:rPr>
          <w:rFonts w:hint="eastAsia"/>
          <w:sz w:val="24"/>
          <w:szCs w:val="24"/>
        </w:rPr>
      </w:pPr>
      <w:r>
        <w:rPr>
          <w:rFonts w:hint="eastAsia"/>
          <w:sz w:val="24"/>
          <w:szCs w:val="24"/>
        </w:rPr>
        <w:t>第二节 会计科目和借贷记账法</w:t>
      </w:r>
    </w:p>
    <w:p w14:paraId="683FF30E">
      <w:pPr>
        <w:spacing w:line="560" w:lineRule="exact"/>
        <w:ind w:firstLine="480"/>
        <w:rPr>
          <w:rFonts w:hint="eastAsia"/>
          <w:sz w:val="24"/>
          <w:szCs w:val="24"/>
        </w:rPr>
      </w:pPr>
      <w:r>
        <w:rPr>
          <w:rFonts w:hint="eastAsia"/>
          <w:sz w:val="24"/>
          <w:szCs w:val="24"/>
        </w:rPr>
        <w:t>第三节 会计凭证和会计账簿</w:t>
      </w:r>
    </w:p>
    <w:p w14:paraId="785C4C5B">
      <w:pPr>
        <w:spacing w:line="560" w:lineRule="exact"/>
        <w:ind w:firstLine="480"/>
        <w:rPr>
          <w:rFonts w:hint="eastAsia"/>
          <w:sz w:val="24"/>
          <w:szCs w:val="24"/>
        </w:rPr>
      </w:pPr>
      <w:r>
        <w:rPr>
          <w:rFonts w:hint="eastAsia"/>
          <w:sz w:val="24"/>
          <w:szCs w:val="24"/>
        </w:rPr>
        <w:t>第四节 财产清查</w:t>
      </w:r>
    </w:p>
    <w:p w14:paraId="07EA2AF6">
      <w:pPr>
        <w:spacing w:line="560" w:lineRule="exact"/>
        <w:ind w:firstLine="480"/>
        <w:rPr>
          <w:rFonts w:hint="eastAsia"/>
          <w:sz w:val="24"/>
          <w:szCs w:val="24"/>
        </w:rPr>
      </w:pPr>
      <w:r>
        <w:rPr>
          <w:rFonts w:hint="eastAsia"/>
          <w:sz w:val="24"/>
          <w:szCs w:val="24"/>
        </w:rPr>
        <w:t>第五节 会计账务处理程序</w:t>
      </w:r>
    </w:p>
    <w:p w14:paraId="3D7EC20F">
      <w:pPr>
        <w:spacing w:line="560" w:lineRule="exact"/>
        <w:ind w:firstLine="480"/>
        <w:rPr>
          <w:rFonts w:hint="eastAsia"/>
          <w:sz w:val="24"/>
          <w:szCs w:val="24"/>
        </w:rPr>
      </w:pPr>
      <w:r>
        <w:rPr>
          <w:rFonts w:hint="eastAsia"/>
          <w:sz w:val="24"/>
          <w:szCs w:val="24"/>
        </w:rPr>
        <w:t>第六节 成本与管理会计基础</w:t>
      </w:r>
    </w:p>
    <w:p w14:paraId="42E7971C">
      <w:pPr>
        <w:spacing w:line="560" w:lineRule="exact"/>
        <w:ind w:firstLine="480"/>
        <w:rPr>
          <w:rFonts w:hint="eastAsia"/>
          <w:sz w:val="24"/>
          <w:szCs w:val="24"/>
        </w:rPr>
      </w:pPr>
      <w:r>
        <w:rPr>
          <w:rFonts w:hint="eastAsia"/>
          <w:sz w:val="24"/>
          <w:szCs w:val="24"/>
        </w:rPr>
        <w:t>第七节 政府会计基础</w:t>
      </w:r>
    </w:p>
    <w:p w14:paraId="499CE8F5">
      <w:pPr>
        <w:spacing w:line="560" w:lineRule="exact"/>
        <w:ind w:firstLine="482"/>
        <w:rPr>
          <w:rFonts w:hint="eastAsia"/>
          <w:b/>
          <w:sz w:val="24"/>
          <w:szCs w:val="24"/>
        </w:rPr>
      </w:pPr>
    </w:p>
    <w:p w14:paraId="23A1EC67">
      <w:pPr>
        <w:spacing w:line="560" w:lineRule="exact"/>
        <w:ind w:firstLine="482"/>
        <w:rPr>
          <w:rFonts w:hint="eastAsia"/>
          <w:b/>
          <w:sz w:val="24"/>
          <w:szCs w:val="24"/>
        </w:rPr>
      </w:pPr>
      <w:r>
        <w:rPr>
          <w:rFonts w:hint="eastAsia"/>
          <w:b/>
          <w:sz w:val="24"/>
          <w:szCs w:val="24"/>
        </w:rPr>
        <w:t>第三章 流动资产 </w:t>
      </w:r>
    </w:p>
    <w:p w14:paraId="15F6E664">
      <w:pPr>
        <w:spacing w:line="560" w:lineRule="exact"/>
        <w:ind w:firstLine="480"/>
        <w:rPr>
          <w:rFonts w:hint="eastAsia"/>
          <w:sz w:val="24"/>
          <w:szCs w:val="24"/>
        </w:rPr>
      </w:pPr>
      <w:r>
        <w:rPr>
          <w:rFonts w:hint="eastAsia"/>
          <w:sz w:val="24"/>
          <w:szCs w:val="24"/>
        </w:rPr>
        <w:t>第一节 货币资金</w:t>
      </w:r>
    </w:p>
    <w:p w14:paraId="3BF13BEE">
      <w:pPr>
        <w:spacing w:line="560" w:lineRule="exact"/>
        <w:ind w:firstLine="480"/>
        <w:rPr>
          <w:rFonts w:hint="eastAsia"/>
          <w:sz w:val="24"/>
          <w:szCs w:val="24"/>
        </w:rPr>
      </w:pPr>
      <w:r>
        <w:rPr>
          <w:rFonts w:hint="eastAsia"/>
          <w:sz w:val="24"/>
          <w:szCs w:val="24"/>
        </w:rPr>
        <w:t>第二节 交易性金融资产</w:t>
      </w:r>
    </w:p>
    <w:p w14:paraId="3094FCBE">
      <w:pPr>
        <w:spacing w:line="560" w:lineRule="exact"/>
        <w:ind w:firstLine="480"/>
        <w:rPr>
          <w:rFonts w:hint="eastAsia"/>
          <w:sz w:val="24"/>
          <w:szCs w:val="24"/>
        </w:rPr>
      </w:pPr>
      <w:r>
        <w:rPr>
          <w:rFonts w:hint="eastAsia"/>
          <w:sz w:val="24"/>
          <w:szCs w:val="24"/>
        </w:rPr>
        <w:t>第三节 应收及预付款项</w:t>
      </w:r>
    </w:p>
    <w:p w14:paraId="5EB0D259">
      <w:pPr>
        <w:spacing w:line="560" w:lineRule="exact"/>
        <w:ind w:firstLine="480"/>
        <w:rPr>
          <w:rFonts w:hint="eastAsia"/>
          <w:sz w:val="24"/>
          <w:szCs w:val="24"/>
        </w:rPr>
      </w:pPr>
      <w:r>
        <w:rPr>
          <w:rFonts w:hint="eastAsia"/>
          <w:sz w:val="24"/>
          <w:szCs w:val="24"/>
        </w:rPr>
        <w:t>第四节 存货</w:t>
      </w:r>
    </w:p>
    <w:p w14:paraId="40828B8E">
      <w:pPr>
        <w:spacing w:line="560" w:lineRule="exact"/>
        <w:ind w:firstLine="482"/>
        <w:rPr>
          <w:rFonts w:hint="eastAsia"/>
          <w:b/>
          <w:sz w:val="24"/>
          <w:szCs w:val="24"/>
        </w:rPr>
      </w:pPr>
      <w:r>
        <w:rPr>
          <w:rFonts w:hint="eastAsia"/>
          <w:b/>
          <w:sz w:val="24"/>
          <w:szCs w:val="24"/>
        </w:rPr>
        <w:t>第四章 非流动资产 </w:t>
      </w:r>
    </w:p>
    <w:p w14:paraId="6B309DA6">
      <w:pPr>
        <w:spacing w:line="560" w:lineRule="exact"/>
        <w:ind w:firstLine="480"/>
        <w:rPr>
          <w:rFonts w:hint="eastAsia"/>
          <w:sz w:val="24"/>
          <w:szCs w:val="24"/>
        </w:rPr>
      </w:pPr>
      <w:r>
        <w:rPr>
          <w:rFonts w:hint="eastAsia"/>
          <w:sz w:val="24"/>
          <w:szCs w:val="24"/>
        </w:rPr>
        <w:t>第一节 长期投资</w:t>
      </w:r>
    </w:p>
    <w:p w14:paraId="431CEC0E">
      <w:pPr>
        <w:spacing w:line="560" w:lineRule="exact"/>
        <w:ind w:firstLine="480"/>
        <w:rPr>
          <w:rFonts w:hint="eastAsia"/>
          <w:sz w:val="24"/>
          <w:szCs w:val="24"/>
        </w:rPr>
      </w:pPr>
      <w:r>
        <w:rPr>
          <w:rFonts w:hint="eastAsia"/>
          <w:sz w:val="24"/>
          <w:szCs w:val="24"/>
        </w:rPr>
        <w:t>第二节 投资性房地产</w:t>
      </w:r>
    </w:p>
    <w:p w14:paraId="4798AD93">
      <w:pPr>
        <w:spacing w:line="560" w:lineRule="exact"/>
        <w:ind w:firstLine="480"/>
        <w:rPr>
          <w:rFonts w:hint="eastAsia"/>
          <w:sz w:val="24"/>
          <w:szCs w:val="24"/>
        </w:rPr>
      </w:pPr>
      <w:r>
        <w:rPr>
          <w:rFonts w:hint="eastAsia"/>
          <w:sz w:val="24"/>
          <w:szCs w:val="24"/>
        </w:rPr>
        <w:t>第三节 固定资产</w:t>
      </w:r>
    </w:p>
    <w:p w14:paraId="4747CE19">
      <w:pPr>
        <w:spacing w:line="560" w:lineRule="exact"/>
        <w:ind w:firstLine="480"/>
        <w:rPr>
          <w:rFonts w:hint="eastAsia"/>
          <w:sz w:val="24"/>
          <w:szCs w:val="24"/>
        </w:rPr>
      </w:pPr>
      <w:r>
        <w:rPr>
          <w:rFonts w:hint="eastAsia"/>
          <w:sz w:val="24"/>
          <w:szCs w:val="24"/>
        </w:rPr>
        <w:t>第四节 生物性生物资产</w:t>
      </w:r>
    </w:p>
    <w:p w14:paraId="28BA6BED">
      <w:pPr>
        <w:spacing w:line="560" w:lineRule="exact"/>
        <w:ind w:firstLine="480"/>
        <w:rPr>
          <w:rFonts w:hint="eastAsia"/>
          <w:sz w:val="24"/>
          <w:szCs w:val="24"/>
        </w:rPr>
      </w:pPr>
      <w:r>
        <w:rPr>
          <w:rFonts w:hint="eastAsia"/>
          <w:sz w:val="24"/>
          <w:szCs w:val="24"/>
        </w:rPr>
        <w:t>第五节 无形资产和长期待摊费用</w:t>
      </w:r>
    </w:p>
    <w:p w14:paraId="12CB2A95">
      <w:pPr>
        <w:spacing w:line="560" w:lineRule="exact"/>
        <w:ind w:firstLine="482"/>
        <w:rPr>
          <w:rFonts w:hint="eastAsia"/>
          <w:b/>
          <w:sz w:val="24"/>
          <w:szCs w:val="24"/>
        </w:rPr>
      </w:pPr>
      <w:r>
        <w:rPr>
          <w:rFonts w:hint="eastAsia"/>
          <w:b/>
          <w:sz w:val="24"/>
          <w:szCs w:val="24"/>
        </w:rPr>
        <w:t>第五章 负债 </w:t>
      </w:r>
    </w:p>
    <w:p w14:paraId="172D548C">
      <w:pPr>
        <w:spacing w:line="560" w:lineRule="exact"/>
        <w:ind w:firstLine="480"/>
        <w:rPr>
          <w:rFonts w:hint="eastAsia"/>
          <w:sz w:val="24"/>
          <w:szCs w:val="24"/>
        </w:rPr>
      </w:pPr>
      <w:r>
        <w:rPr>
          <w:rFonts w:hint="eastAsia"/>
          <w:sz w:val="24"/>
          <w:szCs w:val="24"/>
        </w:rPr>
        <w:t>第一节 短期借款</w:t>
      </w:r>
    </w:p>
    <w:p w14:paraId="41113E19">
      <w:pPr>
        <w:spacing w:line="560" w:lineRule="exact"/>
        <w:ind w:firstLine="480"/>
        <w:rPr>
          <w:rFonts w:hint="eastAsia"/>
          <w:sz w:val="24"/>
          <w:szCs w:val="24"/>
        </w:rPr>
      </w:pPr>
      <w:r>
        <w:rPr>
          <w:rFonts w:hint="eastAsia"/>
          <w:sz w:val="24"/>
          <w:szCs w:val="24"/>
        </w:rPr>
        <w:t>第二节 应付及预收账款</w:t>
      </w:r>
    </w:p>
    <w:p w14:paraId="4D882A9C">
      <w:pPr>
        <w:spacing w:line="560" w:lineRule="exact"/>
        <w:ind w:firstLine="480"/>
        <w:rPr>
          <w:rFonts w:hint="eastAsia"/>
          <w:sz w:val="24"/>
          <w:szCs w:val="24"/>
        </w:rPr>
      </w:pPr>
      <w:r>
        <w:rPr>
          <w:rFonts w:hint="eastAsia"/>
          <w:sz w:val="24"/>
          <w:szCs w:val="24"/>
        </w:rPr>
        <w:t>第三节 应付职工薪酬</w:t>
      </w:r>
    </w:p>
    <w:p w14:paraId="7BD7813A">
      <w:pPr>
        <w:spacing w:line="560" w:lineRule="exact"/>
        <w:ind w:firstLine="480"/>
        <w:rPr>
          <w:rFonts w:hint="eastAsia"/>
          <w:sz w:val="24"/>
          <w:szCs w:val="24"/>
        </w:rPr>
      </w:pPr>
      <w:r>
        <w:rPr>
          <w:rFonts w:hint="eastAsia"/>
          <w:sz w:val="24"/>
          <w:szCs w:val="24"/>
        </w:rPr>
        <w:t>第四节 应交税费</w:t>
      </w:r>
    </w:p>
    <w:p w14:paraId="1585971E">
      <w:pPr>
        <w:spacing w:line="560" w:lineRule="exact"/>
        <w:ind w:firstLine="480"/>
        <w:rPr>
          <w:rFonts w:hint="eastAsia"/>
          <w:sz w:val="24"/>
          <w:szCs w:val="24"/>
        </w:rPr>
      </w:pPr>
      <w:r>
        <w:rPr>
          <w:rFonts w:hint="eastAsia"/>
          <w:sz w:val="24"/>
          <w:szCs w:val="24"/>
        </w:rPr>
        <w:t>第五节 非流动负债</w:t>
      </w:r>
    </w:p>
    <w:p w14:paraId="410315EB">
      <w:pPr>
        <w:spacing w:line="560" w:lineRule="exact"/>
        <w:ind w:firstLine="482"/>
        <w:rPr>
          <w:rFonts w:hint="eastAsia"/>
          <w:b/>
          <w:sz w:val="24"/>
          <w:szCs w:val="24"/>
        </w:rPr>
      </w:pPr>
      <w:r>
        <w:rPr>
          <w:rFonts w:hint="eastAsia"/>
          <w:b/>
          <w:sz w:val="24"/>
          <w:szCs w:val="24"/>
        </w:rPr>
        <w:t>第六章 所有者权益 </w:t>
      </w:r>
    </w:p>
    <w:p w14:paraId="2E6C9ECE">
      <w:pPr>
        <w:spacing w:line="560" w:lineRule="exact"/>
        <w:ind w:firstLine="480"/>
        <w:rPr>
          <w:rFonts w:hint="eastAsia"/>
          <w:sz w:val="24"/>
          <w:szCs w:val="24"/>
        </w:rPr>
      </w:pPr>
      <w:r>
        <w:rPr>
          <w:rFonts w:hint="eastAsia"/>
          <w:sz w:val="24"/>
          <w:szCs w:val="24"/>
        </w:rPr>
        <w:t>第一节 实收资本或股本</w:t>
      </w:r>
    </w:p>
    <w:p w14:paraId="181514CA">
      <w:pPr>
        <w:spacing w:line="560" w:lineRule="exact"/>
        <w:ind w:firstLine="480"/>
        <w:rPr>
          <w:rFonts w:hint="eastAsia"/>
          <w:sz w:val="24"/>
          <w:szCs w:val="24"/>
        </w:rPr>
      </w:pPr>
      <w:r>
        <w:rPr>
          <w:rFonts w:hint="eastAsia"/>
          <w:sz w:val="24"/>
          <w:szCs w:val="24"/>
        </w:rPr>
        <w:t>第二节 资本公积</w:t>
      </w:r>
    </w:p>
    <w:p w14:paraId="7BCB3596">
      <w:pPr>
        <w:spacing w:line="560" w:lineRule="exact"/>
        <w:ind w:firstLine="480"/>
        <w:rPr>
          <w:rFonts w:hint="eastAsia"/>
          <w:sz w:val="24"/>
          <w:szCs w:val="24"/>
        </w:rPr>
      </w:pPr>
      <w:r>
        <w:rPr>
          <w:rFonts w:hint="eastAsia"/>
          <w:sz w:val="24"/>
          <w:szCs w:val="24"/>
        </w:rPr>
        <w:t>第三节 留存收益</w:t>
      </w:r>
    </w:p>
    <w:p w14:paraId="3DD3C224">
      <w:pPr>
        <w:spacing w:line="560" w:lineRule="exact"/>
        <w:ind w:firstLine="482"/>
        <w:rPr>
          <w:rFonts w:hint="eastAsia"/>
          <w:b/>
          <w:sz w:val="24"/>
          <w:szCs w:val="24"/>
        </w:rPr>
      </w:pPr>
      <w:r>
        <w:rPr>
          <w:rFonts w:hint="eastAsia"/>
          <w:b/>
          <w:sz w:val="24"/>
          <w:szCs w:val="24"/>
        </w:rPr>
        <w:t>第七章 收入、费用和利润 </w:t>
      </w:r>
    </w:p>
    <w:p w14:paraId="7FCBA249">
      <w:pPr>
        <w:spacing w:line="560" w:lineRule="exact"/>
        <w:ind w:firstLine="480"/>
        <w:rPr>
          <w:rFonts w:hint="eastAsia"/>
          <w:sz w:val="24"/>
          <w:szCs w:val="24"/>
        </w:rPr>
      </w:pPr>
      <w:r>
        <w:rPr>
          <w:rFonts w:hint="eastAsia"/>
          <w:sz w:val="24"/>
          <w:szCs w:val="24"/>
        </w:rPr>
        <w:t>第一节 收入</w:t>
      </w:r>
    </w:p>
    <w:p w14:paraId="421DC819">
      <w:pPr>
        <w:spacing w:line="560" w:lineRule="exact"/>
        <w:ind w:firstLine="480"/>
        <w:rPr>
          <w:rFonts w:hint="eastAsia"/>
          <w:sz w:val="24"/>
          <w:szCs w:val="24"/>
        </w:rPr>
      </w:pPr>
      <w:r>
        <w:rPr>
          <w:rFonts w:hint="eastAsia"/>
          <w:sz w:val="24"/>
          <w:szCs w:val="24"/>
        </w:rPr>
        <w:t>第二节 费用</w:t>
      </w:r>
    </w:p>
    <w:p w14:paraId="0B925169">
      <w:pPr>
        <w:spacing w:line="560" w:lineRule="exact"/>
        <w:ind w:firstLine="480"/>
        <w:rPr>
          <w:rFonts w:hint="eastAsia"/>
          <w:sz w:val="24"/>
          <w:szCs w:val="24"/>
        </w:rPr>
      </w:pPr>
      <w:r>
        <w:rPr>
          <w:rFonts w:hint="eastAsia"/>
          <w:sz w:val="24"/>
          <w:szCs w:val="24"/>
        </w:rPr>
        <w:t>第三节 利润</w:t>
      </w:r>
    </w:p>
    <w:p w14:paraId="0749D2F5">
      <w:pPr>
        <w:spacing w:line="560" w:lineRule="exact"/>
        <w:ind w:firstLine="482"/>
        <w:rPr>
          <w:rFonts w:hint="eastAsia"/>
          <w:b/>
          <w:sz w:val="24"/>
          <w:szCs w:val="24"/>
        </w:rPr>
      </w:pPr>
      <w:r>
        <w:rPr>
          <w:rFonts w:hint="eastAsia"/>
          <w:b/>
          <w:sz w:val="24"/>
          <w:szCs w:val="24"/>
        </w:rPr>
        <w:t>第八章 财务报告 </w:t>
      </w:r>
    </w:p>
    <w:p w14:paraId="362EC21E">
      <w:pPr>
        <w:spacing w:line="560" w:lineRule="exact"/>
        <w:ind w:firstLine="480"/>
        <w:rPr>
          <w:rFonts w:hint="eastAsia"/>
          <w:sz w:val="24"/>
          <w:szCs w:val="24"/>
        </w:rPr>
      </w:pPr>
      <w:r>
        <w:rPr>
          <w:rFonts w:hint="eastAsia"/>
          <w:sz w:val="24"/>
          <w:szCs w:val="24"/>
        </w:rPr>
        <w:t>第一节 概述</w:t>
      </w:r>
    </w:p>
    <w:p w14:paraId="3AD9CCD2">
      <w:pPr>
        <w:spacing w:line="560" w:lineRule="exact"/>
        <w:ind w:firstLine="480"/>
        <w:rPr>
          <w:rFonts w:hint="eastAsia"/>
          <w:sz w:val="24"/>
          <w:szCs w:val="24"/>
        </w:rPr>
      </w:pPr>
      <w:r>
        <w:rPr>
          <w:rFonts w:hint="eastAsia"/>
          <w:sz w:val="24"/>
          <w:szCs w:val="24"/>
        </w:rPr>
        <w:t>第二节 资产负债表</w:t>
      </w:r>
    </w:p>
    <w:p w14:paraId="5093588C">
      <w:pPr>
        <w:spacing w:line="560" w:lineRule="exact"/>
        <w:ind w:firstLine="480"/>
        <w:rPr>
          <w:rFonts w:hint="eastAsia"/>
          <w:sz w:val="24"/>
          <w:szCs w:val="24"/>
        </w:rPr>
      </w:pPr>
      <w:r>
        <w:rPr>
          <w:rFonts w:hint="eastAsia"/>
          <w:sz w:val="24"/>
          <w:szCs w:val="24"/>
        </w:rPr>
        <w:t>第三节 利润表</w:t>
      </w:r>
    </w:p>
    <w:p w14:paraId="3FB8DEE8">
      <w:pPr>
        <w:spacing w:line="560" w:lineRule="exact"/>
        <w:ind w:firstLine="480"/>
        <w:rPr>
          <w:rFonts w:hint="eastAsia"/>
          <w:sz w:val="24"/>
          <w:szCs w:val="24"/>
        </w:rPr>
      </w:pPr>
      <w:r>
        <w:rPr>
          <w:rFonts w:hint="eastAsia"/>
          <w:sz w:val="24"/>
          <w:szCs w:val="24"/>
        </w:rPr>
        <w:t>第四节 现金流量表</w:t>
      </w:r>
    </w:p>
    <w:p w14:paraId="324C4146">
      <w:pPr>
        <w:spacing w:line="560" w:lineRule="exact"/>
        <w:ind w:firstLine="480"/>
        <w:rPr>
          <w:rFonts w:hint="eastAsia"/>
          <w:sz w:val="24"/>
          <w:szCs w:val="24"/>
        </w:rPr>
      </w:pPr>
      <w:r>
        <w:rPr>
          <w:rFonts w:hint="eastAsia"/>
          <w:sz w:val="24"/>
          <w:szCs w:val="24"/>
        </w:rPr>
        <w:t>第五节 所有者权益变动表</w:t>
      </w:r>
    </w:p>
    <w:p w14:paraId="3270EFD9">
      <w:pPr>
        <w:spacing w:line="560" w:lineRule="exact"/>
        <w:ind w:firstLine="480"/>
        <w:rPr>
          <w:rFonts w:hint="eastAsia"/>
          <w:sz w:val="24"/>
          <w:szCs w:val="24"/>
        </w:rPr>
      </w:pPr>
      <w:r>
        <w:rPr>
          <w:rFonts w:hint="eastAsia"/>
          <w:sz w:val="24"/>
          <w:szCs w:val="24"/>
        </w:rPr>
        <w:t>第六节 财务报表附注及财务报告信息披露要求</w:t>
      </w:r>
    </w:p>
    <w:p w14:paraId="31AE345F">
      <w:pPr>
        <w:pStyle w:val="4"/>
        <w:spacing w:before="0" w:after="0" w:line="560" w:lineRule="exact"/>
        <w:ind w:firstLine="480"/>
        <w:rPr>
          <w:rFonts w:hint="eastAsia" w:ascii="黑体" w:hAnsi="黑体" w:eastAsia="黑体" w:cs="黑体"/>
          <w:sz w:val="24"/>
        </w:rPr>
      </w:pPr>
      <w:r>
        <w:rPr>
          <w:rFonts w:hint="eastAsia" w:ascii="黑体" w:hAnsi="黑体" w:eastAsia="黑体" w:cs="黑体"/>
          <w:sz w:val="24"/>
        </w:rPr>
        <w:t>（五）课程考核方式</w:t>
      </w:r>
    </w:p>
    <w:p w14:paraId="031BE081">
      <w:pPr>
        <w:spacing w:line="360" w:lineRule="auto"/>
        <w:ind w:firstLine="480"/>
        <w:rPr>
          <w:rFonts w:hint="eastAsia"/>
          <w:sz w:val="24"/>
          <w:szCs w:val="24"/>
        </w:rPr>
      </w:pPr>
      <w:r>
        <w:rPr>
          <w:rFonts w:hint="eastAsia"/>
          <w:sz w:val="24"/>
          <w:szCs w:val="24"/>
        </w:rPr>
        <w:t>考核方式实现多元多渠道，同时使用了学校评价、社会评价和企业评价模式。学校评价包括学习态度（出勤率、课堂问答）、理论学习成绩（课堂讨论、期末考查）、专业实训成绩和第二课堂得分；社会评价包括实训基地轮岗实操、到街道办、社区、居委会、村委会的返家乡志愿服务、寒暑假勤工助学等社会反馈；企业评价包括实习工作态度（服从性、积极性）、工作效率（出错率、出件率）、工作业绩（创新性、绩效性）。这样的评价方式更加贴合“劳动课”的精神和实质。</w:t>
      </w:r>
    </w:p>
    <w:p w14:paraId="5F806CFC">
      <w:pPr>
        <w:pStyle w:val="4"/>
        <w:spacing w:before="0" w:after="0" w:line="560" w:lineRule="exact"/>
        <w:ind w:firstLine="480"/>
        <w:rPr>
          <w:rFonts w:hint="eastAsia" w:ascii="黑体" w:hAnsi="黑体" w:eastAsia="黑体" w:cs="黑体"/>
          <w:sz w:val="24"/>
        </w:rPr>
      </w:pPr>
      <w:r>
        <w:rPr>
          <w:rFonts w:hint="eastAsia" w:ascii="黑体" w:hAnsi="黑体" w:eastAsia="黑体" w:cs="黑体"/>
          <w:sz w:val="24"/>
        </w:rPr>
        <w:t>（六）预期教学效果</w:t>
      </w:r>
    </w:p>
    <w:p w14:paraId="5CE1DB43">
      <w:pPr>
        <w:spacing w:line="360" w:lineRule="auto"/>
        <w:ind w:firstLine="480"/>
        <w:rPr>
          <w:rFonts w:hint="eastAsia"/>
          <w:sz w:val="24"/>
          <w:szCs w:val="24"/>
        </w:rPr>
      </w:pPr>
      <w:r>
        <w:rPr>
          <w:rFonts w:hint="eastAsia"/>
          <w:sz w:val="24"/>
          <w:szCs w:val="24"/>
        </w:rPr>
        <w:t>《财务会计》这门课程的授课对象是我校大数据与会计专科一年级下学期和二年级上学期的学生，他们刚刚接触会计专业不久，对于会计人员实际工作中应注意的细节及职业道德标准等缺乏认知，对于会计人员应承担的社会责任感认知也比较模糊。同时，专科学生存在厌学、畏学情绪，缺乏自信，对枯燥的专业课缺乏兴趣。面对这样的学情，将劳动教育引入《财务会计》课程，可以引导学生树立正确的人生观、价值观，帮助学生寻找自己的人生价值，提升对专业知识的兴趣，增强学生学习的主动性。此外，在教授学生掌握专业理论的同时，引导学生注意实践操作中的细节、财务人员应具备的职业素养和新时代青年人应具备的敬业精神、工匠精神，树立正确的职业价值观，为其未来的职业生涯奠定扎实的基础，从而达到更好的育人效果。</w:t>
      </w:r>
    </w:p>
    <w:p w14:paraId="5FA57068">
      <w:pPr>
        <w:pStyle w:val="4"/>
        <w:spacing w:before="0" w:after="0" w:line="560" w:lineRule="exact"/>
        <w:ind w:firstLine="480"/>
        <w:rPr>
          <w:rFonts w:hint="eastAsia" w:ascii="黑体" w:hAnsi="黑体" w:eastAsia="黑体" w:cs="黑体"/>
          <w:sz w:val="24"/>
        </w:rPr>
      </w:pPr>
      <w:r>
        <w:rPr>
          <w:rFonts w:hint="eastAsia" w:ascii="黑体" w:hAnsi="黑体" w:eastAsia="黑体" w:cs="黑体"/>
          <w:sz w:val="24"/>
        </w:rPr>
        <w:t>（七）对人才培养目标的支撑</w:t>
      </w:r>
    </w:p>
    <w:p w14:paraId="68D6222A">
      <w:pPr>
        <w:spacing w:line="560" w:lineRule="exact"/>
        <w:ind w:firstLine="480"/>
        <w:rPr>
          <w:rFonts w:hint="eastAsia"/>
          <w:sz w:val="24"/>
          <w:szCs w:val="24"/>
        </w:rPr>
      </w:pPr>
      <w:r>
        <w:rPr>
          <w:rFonts w:hint="eastAsia"/>
          <w:sz w:val="24"/>
          <w:szCs w:val="24"/>
        </w:rPr>
        <w:t>按照“培养会计专业方面的高素质应用型人才”这一人才培养目标，《财务会计》课程不仅要培养具有专业知识的劳动者，而且一定要突出学生专业技能培养和职业素质提高。通过对本课程的学习，预期能够培养出理想信念坚定，德、智、体、美、劳全面发展，具有良好的人文素养和职业道德，具有工匠精神、创新精神和较强实践能力、就业能力、可持续发展能力，适应出纳、记账员、办税员、银行柜员、证券经纪人等岗位的需要，掌握大数据、管理、经济、金融、会计、财务管理、税务等知识，具有专业技能和创新意识、有较强的的语言表达、应用专业知识解决和分析问题等能力，面向各类中小微企业、非营利组织、会计专业服务机构领域的高素质复合型技术（技能）人才。</w:t>
      </w:r>
    </w:p>
    <w:p w14:paraId="79E9A409">
      <w:pPr>
        <w:pStyle w:val="3"/>
        <w:spacing w:line="560" w:lineRule="exact"/>
        <w:ind w:firstLine="480"/>
        <w:rPr>
          <w:rFonts w:hint="eastAsia" w:ascii="黑体"/>
          <w:sz w:val="24"/>
          <w:szCs w:val="24"/>
        </w:rPr>
      </w:pPr>
      <w:r>
        <w:rPr>
          <w:rFonts w:hint="eastAsia" w:ascii="黑体" w:eastAsia="黑体"/>
          <w:sz w:val="24"/>
          <w:szCs w:val="24"/>
        </w:rPr>
        <w:t>二、案例设计</w:t>
      </w:r>
    </w:p>
    <w:p w14:paraId="1346D400">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（一）案例名称</w:t>
      </w:r>
    </w:p>
    <w:p w14:paraId="1F3FB8AD">
      <w:pPr>
        <w:snapToGrid w:val="0"/>
        <w:spacing w:line="560" w:lineRule="exact"/>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《财务会计》课程中劳动教育元素的挖掘与案例设计——以“会计信息质量要求”为例</w:t>
      </w:r>
    </w:p>
    <w:p w14:paraId="6A9C92EC">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（二）案例教学目标</w:t>
      </w:r>
    </w:p>
    <w:p w14:paraId="13BD4BEB">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1．知识目标</w:t>
      </w:r>
    </w:p>
    <w:p w14:paraId="6016243A">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①掌握八个会计信息质量要求的含义。</w:t>
      </w:r>
    </w:p>
    <w:p w14:paraId="4C78A534">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②了解会计核算必须以经济业务发生的合法凭证为依据。</w:t>
      </w:r>
    </w:p>
    <w:p w14:paraId="4B669774">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③了解会计信息质量对于相关利益人的重要性。</w:t>
      </w:r>
    </w:p>
    <w:p w14:paraId="39CD15A2">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2.能力目标</w:t>
      </w:r>
    </w:p>
    <w:p w14:paraId="0BC3AF30">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①以职业岗位能力为导向，初步具有会计职业判断意识及能力。</w:t>
      </w:r>
    </w:p>
    <w:p w14:paraId="6D2474EA">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②能熟悉企业会计核算主要岗位职责，具有进行各岗位一般日常经济业务会计处理的能力。</w:t>
      </w:r>
    </w:p>
    <w:p w14:paraId="2AA622DB">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③了解企业会计核算应严格按照《企业会计准则》等政策法规要求规范操作。</w:t>
      </w:r>
    </w:p>
    <w:p w14:paraId="4293EA20">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3.劳动教育目标</w:t>
      </w:r>
    </w:p>
    <w:p w14:paraId="3F899ACD">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①使学生认识到，在实际会计工作中，应秉持朱镕基总理对会计人“不做假账”的训示和期望，坚持会计人国家主人翁担当、遵纪守法意识和诚信、审慎的劳动态度。</w:t>
      </w:r>
    </w:p>
    <w:p w14:paraId="1D0487C3">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②号召学生做投资人、纳税人和股东财产的守护者，“合法财产不可侵犯”理念的捍卫者和“取之于民用之于民”精神的践行者，提高劳动素养。</w:t>
      </w:r>
    </w:p>
    <w:p w14:paraId="51D8FCC9">
      <w:pPr>
        <w:spacing w:line="360" w:lineRule="auto"/>
        <w:ind w:firstLine="480"/>
        <w:rPr>
          <w:rFonts w:hint="eastAsia" w:ascii="仿宋" w:eastAsia="仿宋"/>
          <w:color w:val="000000" w:themeColor="text1"/>
          <w:kern w:val="0"/>
          <w:sz w:val="24"/>
          <w:szCs w:val="20"/>
        </w:rPr>
      </w:pPr>
      <w:r>
        <w:rPr>
          <w:rFonts w:hint="eastAsia" w:ascii="仿宋" w:eastAsia="仿宋"/>
          <w:color w:val="000000" w:themeColor="text1"/>
          <w:kern w:val="0"/>
          <w:sz w:val="24"/>
          <w:szCs w:val="20"/>
        </w:rPr>
        <w:t>③提升学生的劳动责任感、使命感和自豪感，以及新时代青年人应具备的敬业精神、工匠精神。</w:t>
      </w:r>
    </w:p>
    <w:p w14:paraId="0C6686A9">
      <w:pPr>
        <w:pStyle w:val="4"/>
        <w:spacing w:before="0" w:after="0" w:line="560" w:lineRule="exact"/>
        <w:ind w:firstLine="480"/>
        <w:rPr>
          <w:rFonts w:hint="eastAsia" w:ascii="楷体" w:hAnsi="楷体" w:eastAsia="楷体"/>
          <w:color w:val="FF0000"/>
          <w:sz w:val="24"/>
          <w:szCs w:val="24"/>
        </w:rPr>
      </w:pPr>
      <w:r>
        <w:rPr>
          <w:rFonts w:hint="eastAsia" w:ascii="楷体" w:hAnsi="楷体" w:eastAsia="楷体"/>
          <w:sz w:val="24"/>
          <w:szCs w:val="24"/>
        </w:rPr>
        <w:t>（三）</w:t>
      </w:r>
      <w:r>
        <w:rPr>
          <w:rFonts w:hint="eastAsia" w:ascii="楷体" w:hAnsi="楷体" w:eastAsia="楷体"/>
          <w:color w:val="FF0000"/>
          <w:sz w:val="24"/>
          <w:szCs w:val="24"/>
        </w:rPr>
        <w:t>案例内容梗概</w:t>
      </w:r>
    </w:p>
    <w:p w14:paraId="5448BA7D">
      <w:pPr>
        <w:pStyle w:val="11"/>
        <w:widowControl/>
        <w:shd w:val="clear" w:color="auto" w:fill="FFFFFF"/>
        <w:spacing w:beforeAutospacing="0" w:afterAutospacing="0" w:line="360" w:lineRule="auto"/>
        <w:ind w:firstLine="480"/>
        <w:rPr>
          <w:rFonts w:hint="eastAsia" w:ascii="仿宋_GB2312" w:hAnsi="宋体" w:eastAsia="仿宋_GB2312" w:cs="宋体"/>
          <w:color w:val="000000" w:themeColor="text1"/>
          <w:shd w:val="clear" w:color="auto" w:fill="FFFFFF"/>
        </w:rPr>
      </w:pPr>
      <w:r>
        <w:rPr>
          <w:rFonts w:hint="eastAsia" w:ascii="仿宋_GB2312" w:hAnsi="宋体" w:eastAsia="仿宋_GB2312" w:cs="宋体"/>
          <w:color w:val="000000" w:themeColor="text1"/>
          <w:kern w:val="2"/>
          <w:shd w:val="clear" w:color="auto" w:fill="FFFFFF"/>
        </w:rPr>
        <w:t>“会计信息质量要求”这一知识点是《财务会计》课程第一章第三节的内容，该节主要内容为：会计信息质量的八大要求以及具体含义，会计信息质量要求相互间的关系，会计信息的作用，违反会计信息质量要求可能造成的经济后果以及需承担的法律责任会计信息质量要求所体现的课程思政元素、劳动精神及劳动价值观。</w:t>
      </w:r>
    </w:p>
    <w:p w14:paraId="052736FD">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（四）案例教学实施</w:t>
      </w:r>
    </w:p>
    <w:p w14:paraId="4C7538C3">
      <w:pPr>
        <w:pStyle w:val="11"/>
        <w:widowControl/>
        <w:shd w:val="clear" w:color="auto" w:fill="FFFFFF"/>
        <w:spacing w:beforeAutospacing="0" w:afterAutospacing="0" w:line="360" w:lineRule="auto"/>
        <w:ind w:firstLine="480" w:firstLineChars="200"/>
        <w:rPr>
          <w:rFonts w:hint="eastAsia" w:ascii="仿宋_GB2312" w:hAnsi="宋体" w:eastAsia="仿宋_GB2312" w:cs="宋体"/>
          <w:color w:val="000000" w:themeColor="text1"/>
          <w:kern w:val="2"/>
          <w:shd w:val="clear" w:color="auto" w:fill="FFFFFF"/>
        </w:rPr>
      </w:pPr>
      <w:r>
        <w:rPr>
          <w:rFonts w:hint="eastAsia" w:ascii="仿宋_GB2312" w:hAnsi="宋体" w:eastAsia="仿宋_GB2312" w:cs="宋体"/>
          <w:color w:val="000000" w:themeColor="text1"/>
          <w:kern w:val="2"/>
          <w:shd w:val="clear" w:color="auto" w:fill="FFFFFF"/>
        </w:rPr>
        <w:t>具体的教学实施内容分课前准备、课中实施和课后拓展三部分。</w:t>
      </w:r>
    </w:p>
    <w:p w14:paraId="480F7B2A">
      <w:pPr>
        <w:pStyle w:val="11"/>
        <w:widowControl/>
        <w:shd w:val="clear" w:color="auto" w:fill="FFFFFF"/>
        <w:spacing w:beforeAutospacing="0" w:afterAutospacing="0" w:line="360" w:lineRule="auto"/>
        <w:ind w:firstLine="482"/>
        <w:rPr>
          <w:rFonts w:hint="eastAsia" w:ascii="仿宋_GB2312" w:hAnsi="宋体" w:eastAsia="仿宋_GB2312" w:cs="宋体"/>
          <w:b/>
          <w:bCs/>
          <w:color w:val="000000" w:themeColor="text1"/>
          <w:kern w:val="2"/>
          <w:shd w:val="clear" w:color="auto" w:fill="FFFFFF"/>
        </w:rPr>
      </w:pPr>
      <w:r>
        <w:rPr>
          <w:rFonts w:hint="eastAsia" w:ascii="仿宋_GB2312" w:hAnsi="宋体" w:eastAsia="仿宋_GB2312" w:cs="宋体"/>
          <w:b/>
          <w:bCs/>
          <w:color w:val="000000" w:themeColor="text1"/>
          <w:kern w:val="2"/>
          <w:shd w:val="clear" w:color="auto" w:fill="FFFFFF"/>
        </w:rPr>
        <w:t>1.课前准备</w:t>
      </w:r>
    </w:p>
    <w:p w14:paraId="14F4CA6F">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布置线上预习和文献导读。通过超星APP，提前布置观看《财务会计》线上教学视频“会计信息质量要求”等相关内容，做好课前的知识准备；导读文献《企业会计准则——基本准则》（如图1所示），了解我国会计准则中对于会计信息质量要求的规定。鼓励学生自行检索相关财务报告造假案例，对会计信息质量有一个初步的认识。</w:t>
      </w:r>
    </w:p>
    <w:p w14:paraId="0E06C571">
      <w:pPr>
        <w:pStyle w:val="9"/>
        <w:ind w:firstLine="360"/>
      </w:pPr>
      <w:r>
        <w:rPr>
          <w:rFonts w:hint="eastAsia"/>
        </w:rPr>
        <w:drawing>
          <wp:inline distT="0" distB="0" distL="114300" distR="114300">
            <wp:extent cx="4789170" cy="5037455"/>
            <wp:effectExtent l="0" t="0" r="0" b="0"/>
            <wp:docPr id="2" name="图片 2" descr="QQ图片2023082223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QQ图片20230822233016"/>
                    <pic:cNvPicPr>
                      <a:picLocks noChangeAspect="1"/>
                    </pic:cNvPicPr>
                  </pic:nvPicPr>
                  <pic:blipFill>
                    <a:blip r:embed="rId21"/>
                    <a:stretch>
                      <a:fillRect/>
                    </a:stretch>
                  </pic:blipFill>
                  <pic:spPr>
                    <a:xfrm>
                      <a:off x="0" y="0"/>
                      <a:ext cx="4794250" cy="5043331"/>
                    </a:xfrm>
                    <a:prstGeom prst="rect">
                      <a:avLst/>
                    </a:prstGeom>
                  </pic:spPr>
                </pic:pic>
              </a:graphicData>
            </a:graphic>
          </wp:inline>
        </w:drawing>
      </w:r>
    </w:p>
    <w:p w14:paraId="34D12D9C">
      <w:pPr>
        <w:spacing w:line="360" w:lineRule="auto"/>
        <w:ind w:firstLine="422"/>
        <w:jc w:val="center"/>
        <w:rPr>
          <w:rFonts w:hint="eastAsia" w:ascii="宋体" w:hAnsi="宋体" w:cs="宋体"/>
          <w:b/>
          <w:bCs/>
          <w:color w:val="000000" w:themeColor="text1"/>
          <w:szCs w:val="21"/>
          <w:shd w:val="clear" w:color="auto" w:fill="FFFFFF"/>
        </w:rPr>
      </w:pPr>
      <w:r>
        <w:rPr>
          <w:rFonts w:hint="eastAsia" w:ascii="宋体" w:hAnsi="宋体" w:eastAsia="宋体" w:cs="宋体"/>
          <w:b/>
          <w:bCs/>
          <w:color w:val="000000" w:themeColor="text1"/>
          <w:sz w:val="21"/>
          <w:szCs w:val="21"/>
          <w:shd w:val="clear" w:color="auto" w:fill="FFFFFF"/>
        </w:rPr>
        <w:t>图1 企业会计准则—基本准则</w:t>
      </w:r>
    </w:p>
    <w:p w14:paraId="57CF7DEE">
      <w:pPr>
        <w:spacing w:line="360" w:lineRule="auto"/>
        <w:ind w:firstLine="482"/>
        <w:rPr>
          <w:rFonts w:hint="eastAsia" w:ascii="仿宋_GB2312" w:hAnsi="宋体" w:cs="宋体"/>
          <w:b/>
          <w:bCs/>
          <w:color w:val="000000" w:themeColor="text1"/>
          <w:sz w:val="24"/>
          <w:shd w:val="clear" w:color="auto" w:fill="FFFFFF"/>
        </w:rPr>
      </w:pPr>
      <w:r>
        <w:rPr>
          <w:rFonts w:hint="eastAsia" w:ascii="仿宋_GB2312" w:hAnsi="宋体" w:cs="宋体"/>
          <w:b/>
          <w:bCs/>
          <w:color w:val="000000" w:themeColor="text1"/>
          <w:sz w:val="24"/>
          <w:szCs w:val="24"/>
          <w:shd w:val="clear" w:color="auto" w:fill="FFFFFF"/>
        </w:rPr>
        <w:t>2.课中实施</w:t>
      </w:r>
    </w:p>
    <w:p w14:paraId="4E1EFF82">
      <w:pPr>
        <w:spacing w:line="360" w:lineRule="auto"/>
        <w:ind w:firstLine="436" w:firstLineChars="182"/>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 xml:space="preserve">①故事引入和案例导入 </w:t>
      </w:r>
    </w:p>
    <w:p w14:paraId="163CF539">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通过向学生讲述《</w:t>
      </w:r>
      <w:r>
        <w:rPr>
          <w:rFonts w:hint="eastAsia" w:ascii="仿宋_GB2312" w:hAnsi="宋体" w:cs="宋体"/>
          <w:color w:val="FF0000"/>
          <w:sz w:val="24"/>
          <w:szCs w:val="24"/>
          <w:shd w:val="clear" w:color="auto" w:fill="FFFFFF"/>
        </w:rPr>
        <w:t>账簿与权力——谁掌握账簿，谁就掌握了权力》（雅各布·索尔著，中信出版集团，2020年版</w:t>
      </w:r>
      <w:r>
        <w:rPr>
          <w:rFonts w:hint="eastAsia" w:ascii="仿宋_GB2312" w:hAnsi="宋体" w:cs="宋体"/>
          <w:color w:val="000000" w:themeColor="text1"/>
          <w:sz w:val="24"/>
          <w:szCs w:val="24"/>
          <w:shd w:val="clear" w:color="auto" w:fill="FFFFFF"/>
        </w:rPr>
        <w:t>）</w:t>
      </w:r>
      <w:r>
        <w:rPr>
          <w:rFonts w:hint="eastAsia" w:ascii="仿宋_GB2312" w:hAnsi="宋体" w:cs="宋体"/>
          <w:color w:val="FF0000"/>
          <w:sz w:val="24"/>
          <w:szCs w:val="24"/>
          <w:shd w:val="clear" w:color="auto" w:fill="FFFFFF"/>
        </w:rPr>
        <w:t>（内容需呈现）</w:t>
      </w:r>
      <w:r>
        <w:rPr>
          <w:rFonts w:hint="eastAsia" w:ascii="仿宋_GB2312" w:hAnsi="宋体" w:cs="宋体"/>
          <w:color w:val="000000" w:themeColor="text1"/>
          <w:sz w:val="24"/>
          <w:szCs w:val="24"/>
          <w:shd w:val="clear" w:color="auto" w:fill="FFFFFF"/>
        </w:rPr>
        <w:t>一书中关于法国国王路易十四的会计问责故事，激发学生的学习兴趣，启发学生认识到会计在公司治理上的补偏救弊、在资本市场治理上的安国宁家，在国家治理上的治乱兴邦。</w:t>
      </w:r>
    </w:p>
    <w:p w14:paraId="3B983AC3">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进而嵌入思政元素和劳动教育元素——会计信息对于一个公司、一个组织乃至一个国家的重要作用，激发学生作为会计人的国家主人翁意识、劳动责任感和职业担当，初步树立正确的劳动价值观。</w:t>
      </w:r>
    </w:p>
    <w:p w14:paraId="5A132760">
      <w:pPr>
        <w:spacing w:line="360" w:lineRule="auto"/>
        <w:ind w:firstLine="640"/>
        <w:rPr>
          <w:rFonts w:hint="eastAsia" w:ascii="仿宋_GB2312" w:hAnsi="宋体" w:cs="宋体"/>
          <w:color w:val="000000" w:themeColor="text1"/>
          <w:sz w:val="24"/>
          <w:shd w:val="clear" w:color="auto" w:fill="FFFFFF"/>
        </w:rPr>
      </w:pPr>
      <w:r>
        <w:drawing>
          <wp:anchor distT="0" distB="0" distL="114300" distR="114300" simplePos="0" relativeHeight="251668480" behindDoc="0" locked="0" layoutInCell="1" allowOverlap="1">
            <wp:simplePos x="0" y="0"/>
            <wp:positionH relativeFrom="column">
              <wp:posOffset>2681605</wp:posOffset>
            </wp:positionH>
            <wp:positionV relativeFrom="paragraph">
              <wp:posOffset>1052830</wp:posOffset>
            </wp:positionV>
            <wp:extent cx="2408555" cy="1327150"/>
            <wp:effectExtent l="0" t="0" r="0" b="0"/>
            <wp:wrapTopAndBottom/>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22" cstate="print">
                      <a:extLst>
                        <a:ext uri="{28A0092B-C50C-407E-A947-70E740481C1C}">
                          <a14:useLocalDpi xmlns:a14="http://schemas.microsoft.com/office/drawing/2010/main" val="0"/>
                        </a:ext>
                      </a:extLst>
                    </a:blip>
                    <a:srcRect b="3808"/>
                    <a:stretch>
                      <a:fillRect/>
                    </a:stretch>
                  </pic:blipFill>
                  <pic:spPr>
                    <a:xfrm>
                      <a:off x="0" y="0"/>
                      <a:ext cx="2408555" cy="1327150"/>
                    </a:xfrm>
                    <a:prstGeom prst="rect">
                      <a:avLst/>
                    </a:prstGeom>
                    <a:noFill/>
                    <a:ln w="9525">
                      <a:noFill/>
                    </a:ln>
                  </pic:spPr>
                </pic:pic>
              </a:graphicData>
            </a:graphic>
          </wp:anchor>
        </w:drawing>
      </w:r>
      <w:r>
        <w:rPr>
          <w:rFonts w:hint="eastAsia"/>
        </w:rPr>
        <w:drawing>
          <wp:anchor distT="0" distB="0" distL="114300" distR="114300" simplePos="0" relativeHeight="251667456" behindDoc="0" locked="0" layoutInCell="1" allowOverlap="1">
            <wp:simplePos x="0" y="0"/>
            <wp:positionH relativeFrom="column">
              <wp:posOffset>-88265</wp:posOffset>
            </wp:positionH>
            <wp:positionV relativeFrom="paragraph">
              <wp:posOffset>1052830</wp:posOffset>
            </wp:positionV>
            <wp:extent cx="2628900" cy="1418590"/>
            <wp:effectExtent l="0" t="0" r="0" b="0"/>
            <wp:wrapTopAndBottom/>
            <wp:docPr id="18" name="图片 18" descr="ZV9IU8$3J79NR$~Y0`~3~Q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ZV9IU8$3J79NR$~Y0`~3~QH"/>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28900" cy="1418590"/>
                    </a:xfrm>
                    <a:prstGeom prst="rect">
                      <a:avLst/>
                    </a:prstGeom>
                  </pic:spPr>
                </pic:pic>
              </a:graphicData>
            </a:graphic>
          </wp:anchor>
        </w:drawing>
      </w:r>
      <w:r>
        <w:rPr>
          <w:rFonts w:hint="eastAsia" w:ascii="仿宋_GB2312" w:hAnsi="宋体" w:cs="宋体"/>
          <w:color w:val="000000" w:themeColor="text1"/>
          <w:sz w:val="24"/>
          <w:szCs w:val="24"/>
          <w:shd w:val="clear" w:color="auto" w:fill="FFFFFF"/>
        </w:rPr>
        <w:t>然后以解剖麻雀的形式，从小处入手，以一个公司——瑞幸咖啡财务造假的发展背景与过程为案例（如图2所示），逐步导入本节课会计信息质量要求的相关内容。</w:t>
      </w:r>
    </w:p>
    <w:p w14:paraId="2BDA743B">
      <w:pPr>
        <w:pStyle w:val="9"/>
        <w:ind w:firstLine="360"/>
      </w:pPr>
    </w:p>
    <w:p w14:paraId="76A9B38D">
      <w:pPr>
        <w:pStyle w:val="9"/>
        <w:ind w:firstLine="360"/>
        <w:rPr>
          <w:rFonts w:eastAsiaTheme="minorEastAsia"/>
        </w:rPr>
      </w:pPr>
      <w:r>
        <w:rPr>
          <w:rFonts w:hint="eastAsia" w:eastAsiaTheme="minorEastAsia"/>
        </w:rPr>
        <w:drawing>
          <wp:inline distT="0" distB="0" distL="114300" distR="114300">
            <wp:extent cx="5318760" cy="2526030"/>
            <wp:effectExtent l="0" t="0" r="0" b="3810"/>
            <wp:docPr id="19" name="图片 19"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未命名"/>
                    <pic:cNvPicPr>
                      <a:picLocks noChangeAspect="1"/>
                    </pic:cNvPicPr>
                  </pic:nvPicPr>
                  <pic:blipFill>
                    <a:blip r:embed="rId24"/>
                    <a:stretch>
                      <a:fillRect/>
                    </a:stretch>
                  </pic:blipFill>
                  <pic:spPr>
                    <a:xfrm>
                      <a:off x="0" y="0"/>
                      <a:ext cx="5318760" cy="2526030"/>
                    </a:xfrm>
                    <a:prstGeom prst="rect">
                      <a:avLst/>
                    </a:prstGeom>
                  </pic:spPr>
                </pic:pic>
              </a:graphicData>
            </a:graphic>
          </wp:inline>
        </w:drawing>
      </w:r>
    </w:p>
    <w:p w14:paraId="675A2A4C">
      <w:pPr>
        <w:spacing w:line="360" w:lineRule="auto"/>
        <w:ind w:firstLine="422"/>
        <w:jc w:val="center"/>
        <w:rPr>
          <w:rFonts w:hint="eastAsia"/>
        </w:rPr>
      </w:pPr>
      <w:r>
        <w:rPr>
          <w:rFonts w:hint="eastAsia" w:ascii="宋体" w:hAnsi="宋体" w:eastAsia="宋体" w:cs="宋体"/>
          <w:b/>
          <w:bCs/>
          <w:color w:val="000000" w:themeColor="text1"/>
          <w:sz w:val="21"/>
          <w:szCs w:val="21"/>
          <w:shd w:val="clear" w:color="auto" w:fill="FFFFFF"/>
        </w:rPr>
        <w:t>图2 故事及案例的相关背景资料展示</w:t>
      </w:r>
    </w:p>
    <w:p w14:paraId="09158C0A">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 xml:space="preserve">②组织学生讨论 </w:t>
      </w:r>
    </w:p>
    <w:p w14:paraId="1AAA1ABA">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结合已学习的会计职能内容、预习内容和案例资料，通过超星学习通APP向学生发送主题讨论：瑞幸咖啡的财务造假违反哪些会计信息质量要求？（如图3所示）</w:t>
      </w:r>
    </w:p>
    <w:p w14:paraId="0AD002CD">
      <w:pPr>
        <w:pStyle w:val="9"/>
        <w:ind w:firstLine="360"/>
        <w:rPr>
          <w:rFonts w:eastAsiaTheme="minorEastAsia"/>
        </w:rPr>
      </w:pPr>
      <w:r>
        <w:rPr>
          <w:rFonts w:hint="eastAsia" w:eastAsiaTheme="minorEastAsia"/>
        </w:rPr>
        <w:drawing>
          <wp:inline distT="0" distB="0" distL="114300" distR="114300">
            <wp:extent cx="5266690" cy="1282065"/>
            <wp:effectExtent l="0" t="0" r="6350" b="13335"/>
            <wp:docPr id="27" name="图片 27" descr="YJ2XLS6GWGD(1FKOYF`Y`N8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YJ2XLS6GWGD(1FKOYF`Y`N8_副本"/>
                    <pic:cNvPicPr>
                      <a:picLocks noChangeAspect="1"/>
                    </pic:cNvPicPr>
                  </pic:nvPicPr>
                  <pic:blipFill>
                    <a:blip r:embed="rId25"/>
                    <a:stretch>
                      <a:fillRect/>
                    </a:stretch>
                  </pic:blipFill>
                  <pic:spPr>
                    <a:xfrm>
                      <a:off x="0" y="0"/>
                      <a:ext cx="5266690" cy="1282065"/>
                    </a:xfrm>
                    <a:prstGeom prst="rect">
                      <a:avLst/>
                    </a:prstGeom>
                  </pic:spPr>
                </pic:pic>
              </a:graphicData>
            </a:graphic>
          </wp:inline>
        </w:drawing>
      </w:r>
    </w:p>
    <w:p w14:paraId="690832E9">
      <w:pPr>
        <w:spacing w:line="360" w:lineRule="auto"/>
        <w:ind w:firstLine="422"/>
        <w:jc w:val="center"/>
        <w:rPr>
          <w:rFonts w:hint="eastAsia"/>
        </w:rPr>
      </w:pPr>
      <w:r>
        <w:rPr>
          <w:rFonts w:hint="eastAsia" w:ascii="宋体" w:hAnsi="宋体" w:eastAsia="宋体" w:cs="宋体"/>
          <w:b/>
          <w:bCs/>
          <w:color w:val="000000" w:themeColor="text1"/>
          <w:sz w:val="21"/>
          <w:szCs w:val="21"/>
          <w:shd w:val="clear" w:color="auto" w:fill="FFFFFF"/>
        </w:rPr>
        <w:t>图3 主题讨论：瑞幸咖啡违反的会计信息质量要求</w:t>
      </w:r>
    </w:p>
    <w:p w14:paraId="7A95F693">
      <w:pPr>
        <w:spacing w:line="360" w:lineRule="auto"/>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 xml:space="preserve">③讲授与互动 </w:t>
      </w:r>
    </w:p>
    <w:p w14:paraId="66214EC0">
      <w:pPr>
        <w:spacing w:line="360" w:lineRule="auto"/>
        <w:ind w:firstLine="480"/>
        <w:rPr>
          <w:rFonts w:hint="eastAsia" w:ascii="仿宋_GB2312" w:hAnsi="宋体" w:cs="宋体"/>
          <w:color w:val="000000" w:themeColor="text1"/>
          <w:kern w:val="0"/>
          <w:sz w:val="24"/>
        </w:rPr>
      </w:pPr>
      <w:r>
        <w:rPr>
          <w:rFonts w:hint="eastAsia" w:ascii="仿宋_GB2312" w:hAnsi="宋体" w:cs="宋体"/>
          <w:color w:val="000000" w:themeColor="text1"/>
          <w:sz w:val="24"/>
          <w:szCs w:val="24"/>
          <w:shd w:val="clear" w:color="auto" w:fill="FFFFFF"/>
        </w:rPr>
        <w:t>逐个讲解会计信息质量的八大要求，讲解时注意八大要求分别代表的具体含义（如图4所示），重点强调每个要求的原因，帮助学生理解与掌握，特别是在“可靠性、谨慎性、相关性、及时性”这三个要求的讲解中，要结合瑞幸造假案例向学生传递虚假会计信息质量造成的重大负面影响，同时嵌入思政元素和劳动教育元素——作为会计人在会计工作中，应该秉持诚信，养成良好的劳动习惯，恪守职业道德，同时引导学生树立</w:t>
      </w:r>
      <w:r>
        <w:rPr>
          <w:rFonts w:hint="eastAsia" w:ascii="仿宋_GB2312" w:hAnsi="宋体" w:cs="宋体"/>
          <w:color w:val="000000" w:themeColor="text1"/>
          <w:kern w:val="0"/>
          <w:sz w:val="24"/>
          <w:szCs w:val="24"/>
        </w:rPr>
        <w:t>爱岗敬业、精益求精、热爱劳动、尊重劳动的劳动价值观。</w:t>
      </w:r>
    </w:p>
    <w:p w14:paraId="26D70494">
      <w:pPr>
        <w:pStyle w:val="9"/>
        <w:ind w:firstLine="360"/>
      </w:pPr>
      <w:r>
        <w:drawing>
          <wp:inline distT="0" distB="0" distL="114300" distR="114300">
            <wp:extent cx="4766945" cy="2315210"/>
            <wp:effectExtent l="0" t="0" r="3175" b="1270"/>
            <wp:docPr id="28" name="图片 28" descr="1481093146440057729_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481093146440057729_md"/>
                    <pic:cNvPicPr>
                      <a:picLocks noChangeAspect="1"/>
                    </pic:cNvPicPr>
                  </pic:nvPicPr>
                  <pic:blipFill>
                    <a:blip r:embed="rId26"/>
                    <a:stretch>
                      <a:fillRect/>
                    </a:stretch>
                  </pic:blipFill>
                  <pic:spPr>
                    <a:xfrm>
                      <a:off x="0" y="0"/>
                      <a:ext cx="4766945" cy="2315210"/>
                    </a:xfrm>
                    <a:prstGeom prst="rect">
                      <a:avLst/>
                    </a:prstGeom>
                  </pic:spPr>
                </pic:pic>
              </a:graphicData>
            </a:graphic>
          </wp:inline>
        </w:drawing>
      </w:r>
    </w:p>
    <w:p w14:paraId="21D759AA">
      <w:pPr>
        <w:spacing w:line="360" w:lineRule="auto"/>
        <w:ind w:firstLine="422"/>
        <w:jc w:val="center"/>
        <w:rPr>
          <w:rFonts w:hint="eastAsia"/>
        </w:rPr>
      </w:pPr>
      <w:r>
        <w:rPr>
          <w:rFonts w:hint="eastAsia" w:ascii="宋体" w:hAnsi="宋体" w:eastAsia="宋体" w:cs="宋体"/>
          <w:b/>
          <w:bCs/>
          <w:color w:val="000000" w:themeColor="text1"/>
          <w:sz w:val="21"/>
          <w:szCs w:val="21"/>
          <w:shd w:val="clear" w:color="auto" w:fill="FFFFFF"/>
        </w:rPr>
        <w:t>图4 会计信息质量八大要求的讲授</w:t>
      </w:r>
    </w:p>
    <w:p w14:paraId="5D979590">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④阐述与启发 </w:t>
      </w:r>
    </w:p>
    <w:p w14:paraId="1B51A81B">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以瑞幸咖啡和其他具体实例（可通过视频资料展示），让学生分组讨论违反信息质量要求带来的社会经济后果并需承担的相关法律责任（如图5所示），其中嵌入劳动教育元素——遵纪守法的劳动价值观。 </w:t>
      </w:r>
    </w:p>
    <w:p w14:paraId="26AAD1C7">
      <w:pPr>
        <w:pStyle w:val="9"/>
        <w:ind w:firstLine="360"/>
        <w:rPr>
          <w:rFonts w:eastAsiaTheme="minorEastAsia"/>
        </w:rPr>
      </w:pPr>
      <w:r>
        <w:rPr>
          <w:rFonts w:hint="eastAsia" w:eastAsiaTheme="minorEastAsia"/>
        </w:rPr>
        <w:drawing>
          <wp:inline distT="0" distB="0" distL="114300" distR="114300">
            <wp:extent cx="5274310" cy="1289050"/>
            <wp:effectExtent l="0" t="0" r="13970" b="6350"/>
            <wp:docPr id="41" name="图片 41" descr="8D])0XY4O6R6%AR%E@[]RIM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8D])0XY4O6R6%AR%E@[]RIM_副本"/>
                    <pic:cNvPicPr>
                      <a:picLocks noChangeAspect="1"/>
                    </pic:cNvPicPr>
                  </pic:nvPicPr>
                  <pic:blipFill>
                    <a:blip r:embed="rId27"/>
                    <a:stretch>
                      <a:fillRect/>
                    </a:stretch>
                  </pic:blipFill>
                  <pic:spPr>
                    <a:xfrm>
                      <a:off x="0" y="0"/>
                      <a:ext cx="5274310" cy="1289050"/>
                    </a:xfrm>
                    <a:prstGeom prst="rect">
                      <a:avLst/>
                    </a:prstGeom>
                  </pic:spPr>
                </pic:pic>
              </a:graphicData>
            </a:graphic>
          </wp:inline>
        </w:drawing>
      </w:r>
    </w:p>
    <w:p w14:paraId="023E7B17">
      <w:pPr>
        <w:spacing w:line="360" w:lineRule="auto"/>
        <w:ind w:firstLine="422"/>
        <w:jc w:val="center"/>
        <w:rPr>
          <w:rFonts w:hint="eastAsia"/>
        </w:rPr>
      </w:pPr>
      <w:r>
        <w:rPr>
          <w:rFonts w:hint="eastAsia" w:ascii="宋体" w:hAnsi="宋体" w:eastAsia="宋体" w:cs="宋体"/>
          <w:b/>
          <w:bCs/>
          <w:color w:val="000000" w:themeColor="text1"/>
          <w:sz w:val="21"/>
          <w:szCs w:val="21"/>
          <w:shd w:val="clear" w:color="auto" w:fill="FFFFFF"/>
        </w:rPr>
        <w:t>图5 主题讨论：违反会计信息质量要求的法律后果</w:t>
      </w:r>
    </w:p>
    <w:p w14:paraId="3204D2E2">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⑤拓展与深化</w:t>
      </w:r>
    </w:p>
    <w:p w14:paraId="7E1B0469">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结合本节所学的会计信息质量要求的内容，向学生展示《公司法》、《证券法》中对违反信息质量要求的相关处罚规定，组织学生探讨对案例公司处罚的适当性和可行性（如图6所示），进一步加强学生的法律意识和职业道德。</w:t>
      </w:r>
    </w:p>
    <w:p w14:paraId="6D853EF5">
      <w:pPr>
        <w:pStyle w:val="9"/>
        <w:ind w:firstLine="360"/>
      </w:pPr>
      <w:r>
        <w:rPr>
          <w:rFonts w:hint="eastAsia"/>
        </w:rPr>
        <w:drawing>
          <wp:inline distT="0" distB="0" distL="114300" distR="114300">
            <wp:extent cx="5262245" cy="1776730"/>
            <wp:effectExtent l="0" t="0" r="10795" b="6350"/>
            <wp:docPr id="42" name="图片 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
                    <pic:cNvPicPr>
                      <a:picLocks noChangeAspect="1"/>
                    </pic:cNvPicPr>
                  </pic:nvPicPr>
                  <pic:blipFill>
                    <a:blip r:embed="rId28"/>
                    <a:stretch>
                      <a:fillRect/>
                    </a:stretch>
                  </pic:blipFill>
                  <pic:spPr>
                    <a:xfrm>
                      <a:off x="0" y="0"/>
                      <a:ext cx="5262245" cy="1776730"/>
                    </a:xfrm>
                    <a:prstGeom prst="rect">
                      <a:avLst/>
                    </a:prstGeom>
                  </pic:spPr>
                </pic:pic>
              </a:graphicData>
            </a:graphic>
          </wp:inline>
        </w:drawing>
      </w:r>
    </w:p>
    <w:p w14:paraId="2BCD1EF0">
      <w:pPr>
        <w:spacing w:line="360" w:lineRule="auto"/>
        <w:ind w:firstLine="422"/>
        <w:jc w:val="center"/>
        <w:rPr>
          <w:rFonts w:hint="eastAsia" w:ascii="宋体" w:hAnsi="宋体" w:cs="宋体"/>
          <w:color w:val="000000" w:themeColor="text1"/>
          <w:sz w:val="24"/>
          <w:shd w:val="clear" w:color="auto" w:fill="FFFFFF"/>
        </w:rPr>
      </w:pPr>
      <w:r>
        <w:rPr>
          <w:rFonts w:hint="eastAsia" w:ascii="宋体" w:hAnsi="宋体" w:eastAsia="宋体" w:cs="宋体"/>
          <w:b/>
          <w:bCs/>
          <w:color w:val="000000" w:themeColor="text1"/>
          <w:sz w:val="21"/>
          <w:szCs w:val="21"/>
          <w:shd w:val="clear" w:color="auto" w:fill="FFFFFF"/>
        </w:rPr>
        <w:t>图6 《公司法》、《证券法》中相关处罚规定的讲授与探讨</w:t>
      </w:r>
    </w:p>
    <w:p w14:paraId="7728A03F">
      <w:pPr>
        <w:spacing w:line="560" w:lineRule="exact"/>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⑥思考与讨论 </w:t>
      </w:r>
    </w:p>
    <w:p w14:paraId="6C988087">
      <w:pPr>
        <w:spacing w:line="560" w:lineRule="exact"/>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通过上述讲解和互动后，通过情景设置、角色扮演等形式，组织学生进一步思考与讨论瑞幸咖啡财务造假带来的影响与后果（如图7所示），使学生能够更直接地理解会计信息质量的要求。进一步地启发学生思考，现代社会中，当一个国家会计信息系统出现问题时可能带来哪些后果，引导学生增强自身职业的劳动使命感和责任感，深化劳动价值观。</w:t>
      </w:r>
    </w:p>
    <w:p w14:paraId="3187ADC2">
      <w:pPr>
        <w:pStyle w:val="9"/>
        <w:ind w:firstLine="360"/>
      </w:pPr>
      <w:r>
        <w:rPr>
          <w:rFonts w:hint="eastAsia"/>
        </w:rPr>
        <w:drawing>
          <wp:inline distT="0" distB="0" distL="114300" distR="114300">
            <wp:extent cx="4726305" cy="2340610"/>
            <wp:effectExtent l="0" t="0" r="13335" b="6350"/>
            <wp:docPr id="43" name="图片 43" descr="ZHG(UAU~VQZT8GC9}ZSXZW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ZHG(UAU~VQZT8GC9}ZSXZW6"/>
                    <pic:cNvPicPr>
                      <a:picLocks noChangeAspect="1"/>
                    </pic:cNvPicPr>
                  </pic:nvPicPr>
                  <pic:blipFill>
                    <a:blip r:embed="rId29"/>
                    <a:stretch>
                      <a:fillRect/>
                    </a:stretch>
                  </pic:blipFill>
                  <pic:spPr>
                    <a:xfrm>
                      <a:off x="0" y="0"/>
                      <a:ext cx="4726305" cy="2340610"/>
                    </a:xfrm>
                    <a:prstGeom prst="rect">
                      <a:avLst/>
                    </a:prstGeom>
                  </pic:spPr>
                </pic:pic>
              </a:graphicData>
            </a:graphic>
          </wp:inline>
        </w:drawing>
      </w:r>
    </w:p>
    <w:p w14:paraId="3D21C8EA">
      <w:pPr>
        <w:spacing w:line="360" w:lineRule="auto"/>
        <w:ind w:firstLine="422"/>
        <w:jc w:val="center"/>
        <w:rPr>
          <w:rFonts w:hint="eastAsia" w:ascii="宋体" w:hAnsi="宋体" w:cs="宋体"/>
          <w:color w:val="000000" w:themeColor="text1"/>
          <w:sz w:val="24"/>
          <w:shd w:val="clear" w:color="auto" w:fill="FFFFFF"/>
        </w:rPr>
      </w:pPr>
      <w:r>
        <w:rPr>
          <w:rFonts w:hint="eastAsia" w:ascii="宋体" w:hAnsi="宋体" w:eastAsia="宋体" w:cs="宋体"/>
          <w:b/>
          <w:bCs/>
          <w:color w:val="000000" w:themeColor="text1"/>
          <w:sz w:val="21"/>
          <w:szCs w:val="21"/>
          <w:shd w:val="clear" w:color="auto" w:fill="FFFFFF"/>
        </w:rPr>
        <w:t>图7 瑞幸咖啡案例讨论的相关内容</w:t>
      </w:r>
    </w:p>
    <w:p w14:paraId="54257FE4">
      <w:pPr>
        <w:ind w:firstLine="640"/>
        <w:rPr>
          <w:rFonts w:hint="eastAsia"/>
        </w:rPr>
      </w:pPr>
    </w:p>
    <w:p w14:paraId="3DA82139">
      <w:pPr>
        <w:spacing w:line="560" w:lineRule="exact"/>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⑦课堂总结</w:t>
      </w:r>
    </w:p>
    <w:p w14:paraId="760F67E9">
      <w:pPr>
        <w:spacing w:line="560" w:lineRule="exact"/>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对本次课所学习的主要内容进行简要的回顾和总结，再次强调财会人员在对外进行财务报告时，要满足会计信息质量要求，明确会计目标。在实践中应秉持朱镕基总理对会计人“不做假账”的训示和期望（如图8所示），坚持会计人国家主人翁担当、遵纪守法意识、劳动素养和诚信、审慎的专业态度及劳动精神。</w:t>
      </w:r>
    </w:p>
    <w:p w14:paraId="48125E8A">
      <w:pPr>
        <w:pStyle w:val="9"/>
        <w:ind w:firstLine="360"/>
      </w:pPr>
      <w:r>
        <w:rPr>
          <w:rFonts w:hint="eastAsia"/>
        </w:rPr>
        <w:drawing>
          <wp:inline distT="0" distB="0" distL="114300" distR="114300">
            <wp:extent cx="4895850" cy="2305685"/>
            <wp:effectExtent l="0" t="0" r="11430" b="10795"/>
            <wp:docPr id="44" name="图片 44" descr="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942"/>
                    <pic:cNvPicPr>
                      <a:picLocks noChangeAspect="1"/>
                    </pic:cNvPicPr>
                  </pic:nvPicPr>
                  <pic:blipFill>
                    <a:blip r:embed="rId30"/>
                    <a:stretch>
                      <a:fillRect/>
                    </a:stretch>
                  </pic:blipFill>
                  <pic:spPr>
                    <a:xfrm>
                      <a:off x="0" y="0"/>
                      <a:ext cx="4895850" cy="2305685"/>
                    </a:xfrm>
                    <a:prstGeom prst="rect">
                      <a:avLst/>
                    </a:prstGeom>
                  </pic:spPr>
                </pic:pic>
              </a:graphicData>
            </a:graphic>
          </wp:inline>
        </w:drawing>
      </w:r>
    </w:p>
    <w:p w14:paraId="03C1A895">
      <w:pPr>
        <w:spacing w:line="360" w:lineRule="auto"/>
        <w:ind w:firstLine="422"/>
        <w:jc w:val="center"/>
        <w:rPr>
          <w:rFonts w:hint="eastAsia" w:ascii="宋体" w:hAnsi="宋体" w:cs="宋体"/>
          <w:color w:val="000000" w:themeColor="text1"/>
          <w:sz w:val="24"/>
          <w:shd w:val="clear" w:color="auto" w:fill="FFFFFF"/>
        </w:rPr>
      </w:pPr>
      <w:r>
        <w:rPr>
          <w:rFonts w:hint="eastAsia" w:ascii="宋体" w:hAnsi="宋体" w:eastAsia="宋体" w:cs="宋体"/>
          <w:b/>
          <w:bCs/>
          <w:color w:val="000000" w:themeColor="text1"/>
          <w:sz w:val="21"/>
          <w:szCs w:val="21"/>
          <w:shd w:val="clear" w:color="auto" w:fill="FFFFFF"/>
        </w:rPr>
        <w:t>图8 朱镕基总理对会计人“不做假账”的训示和期望</w:t>
      </w:r>
    </w:p>
    <w:p w14:paraId="376D0471">
      <w:pPr>
        <w:spacing w:line="360" w:lineRule="auto"/>
        <w:ind w:left="640" w:leftChars="200" w:firstLine="480"/>
        <w:rPr>
          <w:rFonts w:hint="eastAsia" w:ascii="宋体" w:hAnsi="宋体" w:cs="宋体"/>
          <w:color w:val="000000" w:themeColor="text1"/>
          <w:sz w:val="24"/>
          <w:shd w:val="clear" w:color="auto" w:fill="FFFFFF"/>
        </w:rPr>
      </w:pPr>
    </w:p>
    <w:p w14:paraId="6C50323F">
      <w:pPr>
        <w:spacing w:line="560" w:lineRule="exact"/>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⑧布置作业</w:t>
      </w:r>
    </w:p>
    <w:p w14:paraId="5BA49ADD">
      <w:pPr>
        <w:spacing w:line="560" w:lineRule="exact"/>
        <w:ind w:firstLine="480"/>
        <w:rPr>
          <w:rFonts w:hint="eastAsia" w:ascii="仿宋_GB2312" w:hAnsi="宋体" w:cs="宋体"/>
          <w:color w:val="000000" w:themeColor="text1"/>
          <w:sz w:val="24"/>
          <w:shd w:val="clear" w:color="auto" w:fill="FFFFFF"/>
        </w:rPr>
      </w:pPr>
      <w:r>
        <w:rPr>
          <w:rFonts w:hint="eastAsia" w:ascii="仿宋_GB2312" w:hAnsi="宋体" w:cs="宋体"/>
          <w:color w:val="000000" w:themeColor="text1"/>
          <w:sz w:val="24"/>
          <w:szCs w:val="24"/>
          <w:shd w:val="clear" w:color="auto" w:fill="FFFFFF"/>
        </w:rPr>
        <w:t>最后，教师在超星APP中布置作业任务，每组同学需要搜集和提交至少6个关于提高劳动素养和劳动价值观方面的名人名言名句或案例。学生以组为单位完成作业，可以培养学生的协调合作能力，要求学生结合会计人员的劳动素养和劳动价值观进行分析，鼓励学生对本节课尚未理解和吸收的内容提出疑问，将学生引入真正意义上的劳动教育的知识吸收环节。</w:t>
      </w:r>
    </w:p>
    <w:p w14:paraId="54D5F36A">
      <w:pPr>
        <w:pStyle w:val="9"/>
        <w:ind w:firstLine="360"/>
      </w:pPr>
      <w:r>
        <w:rPr>
          <w:rFonts w:hint="eastAsia"/>
        </w:rPr>
        <w:drawing>
          <wp:inline distT="0" distB="0" distL="114300" distR="114300">
            <wp:extent cx="5109210" cy="1236980"/>
            <wp:effectExtent l="0" t="0" r="11430" b="12700"/>
            <wp:docPr id="46" name="图片 46" descr="8R0F`@FMSN_~)7)V(S)9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8R0F`@FMSN_~)7)V(S)9C}I"/>
                    <pic:cNvPicPr>
                      <a:picLocks noChangeAspect="1"/>
                    </pic:cNvPicPr>
                  </pic:nvPicPr>
                  <pic:blipFill>
                    <a:blip r:embed="rId31"/>
                    <a:stretch>
                      <a:fillRect/>
                    </a:stretch>
                  </pic:blipFill>
                  <pic:spPr>
                    <a:xfrm>
                      <a:off x="0" y="0"/>
                      <a:ext cx="5109210" cy="1236980"/>
                    </a:xfrm>
                    <a:prstGeom prst="rect">
                      <a:avLst/>
                    </a:prstGeom>
                  </pic:spPr>
                </pic:pic>
              </a:graphicData>
            </a:graphic>
          </wp:inline>
        </w:drawing>
      </w:r>
    </w:p>
    <w:p w14:paraId="2EE80F43">
      <w:pPr>
        <w:spacing w:line="360" w:lineRule="auto"/>
        <w:ind w:firstLine="422"/>
        <w:jc w:val="center"/>
        <w:rPr>
          <w:rFonts w:hint="eastAsia" w:ascii="宋体" w:hAnsi="宋体" w:cs="宋体"/>
          <w:b/>
          <w:bCs/>
          <w:color w:val="000000" w:themeColor="text1"/>
          <w:szCs w:val="21"/>
          <w:shd w:val="clear" w:color="auto" w:fill="FFFFFF"/>
        </w:rPr>
      </w:pPr>
      <w:r>
        <w:rPr>
          <w:rFonts w:hint="eastAsia" w:ascii="宋体" w:hAnsi="宋体" w:eastAsia="宋体" w:cs="宋体"/>
          <w:b/>
          <w:bCs/>
          <w:color w:val="000000" w:themeColor="text1"/>
          <w:sz w:val="21"/>
          <w:szCs w:val="21"/>
          <w:shd w:val="clear" w:color="auto" w:fill="FFFFFF"/>
        </w:rPr>
        <w:t>图9 课后作业：提高劳动</w:t>
      </w:r>
      <w:r>
        <w:rPr>
          <w:rFonts w:ascii="宋体" w:hAnsi="宋体" w:eastAsia="宋体" w:cs="宋体"/>
          <w:b/>
          <w:bCs/>
          <w:color w:val="000000" w:themeColor="text1"/>
          <w:sz w:val="21"/>
          <w:szCs w:val="21"/>
          <w:shd w:val="clear" w:color="auto" w:fill="FFFFFF"/>
        </w:rPr>
        <w:t>素养方面的名人名言名句</w:t>
      </w:r>
      <w:r>
        <w:rPr>
          <w:rFonts w:hint="eastAsia" w:ascii="宋体" w:hAnsi="宋体" w:eastAsia="宋体" w:cs="宋体"/>
          <w:b/>
          <w:bCs/>
          <w:color w:val="000000" w:themeColor="text1"/>
          <w:sz w:val="21"/>
          <w:szCs w:val="21"/>
          <w:shd w:val="clear" w:color="auto" w:fill="FFFFFF"/>
        </w:rPr>
        <w:t>或案例</w:t>
      </w:r>
    </w:p>
    <w:p w14:paraId="179E4A72">
      <w:pPr>
        <w:spacing w:line="360" w:lineRule="auto"/>
        <w:ind w:firstLine="482"/>
        <w:rPr>
          <w:rFonts w:hint="eastAsia" w:ascii="宋体" w:hAnsi="宋体" w:cs="宋体"/>
          <w:b/>
          <w:bCs/>
          <w:color w:val="000000" w:themeColor="text1"/>
          <w:sz w:val="24"/>
          <w:shd w:val="clear" w:color="auto" w:fill="FFFFFF"/>
        </w:rPr>
      </w:pPr>
      <w:r>
        <w:rPr>
          <w:rFonts w:hint="eastAsia" w:ascii="宋体" w:hAnsi="宋体" w:eastAsia="宋体" w:cs="宋体"/>
          <w:b/>
          <w:bCs/>
          <w:color w:val="000000" w:themeColor="text1"/>
          <w:sz w:val="24"/>
          <w:szCs w:val="24"/>
          <w:shd w:val="clear" w:color="auto" w:fill="FFFFFF"/>
        </w:rPr>
        <w:t xml:space="preserve">3.课后拓展 </w:t>
      </w:r>
    </w:p>
    <w:p w14:paraId="2E9AA75F">
      <w:pPr>
        <w:spacing w:line="360" w:lineRule="auto"/>
        <w:ind w:firstLine="480"/>
        <w:rPr>
          <w:rFonts w:hint="eastAsia" w:ascii="仿宋_GB2312" w:hAnsi="宋体" w:cs="宋体"/>
          <w:color w:val="000000" w:themeColor="text1"/>
          <w:sz w:val="24"/>
          <w:szCs w:val="24"/>
          <w:shd w:val="clear" w:color="auto" w:fill="FFFFFF"/>
        </w:rPr>
      </w:pPr>
      <w:r>
        <w:rPr>
          <w:rFonts w:ascii="仿宋_GB2312" w:hAnsi="宋体" w:cs="宋体"/>
          <w:color w:val="000000" w:themeColor="text1"/>
          <w:sz w:val="24"/>
          <w:szCs w:val="24"/>
          <w:shd w:val="clear" w:color="auto" w:fill="FFFFFF"/>
        </w:rPr>
        <w:t>课后，教师通过超星</w:t>
      </w:r>
      <w:r>
        <w:rPr>
          <w:rFonts w:hint="eastAsia" w:ascii="仿宋_GB2312" w:hAnsi="宋体" w:cs="宋体"/>
          <w:color w:val="000000" w:themeColor="text1"/>
          <w:sz w:val="24"/>
          <w:szCs w:val="24"/>
          <w:shd w:val="clear" w:color="auto" w:fill="FFFFFF"/>
        </w:rPr>
        <w:t>学习通</w:t>
      </w:r>
      <w:r>
        <w:rPr>
          <w:rFonts w:ascii="仿宋_GB2312" w:hAnsi="宋体" w:cs="宋体"/>
          <w:color w:val="000000" w:themeColor="text1"/>
          <w:sz w:val="24"/>
          <w:szCs w:val="24"/>
          <w:shd w:val="clear" w:color="auto" w:fill="FFFFFF"/>
        </w:rPr>
        <w:t>APP推送给学生一些可以引发思考的社会热点，如电视剧《乔家大院》中的胡麻油掺假事件、</w:t>
      </w:r>
      <w:r>
        <w:rPr>
          <w:rFonts w:hint="eastAsia" w:ascii="仿宋_GB2312" w:hAnsi="宋体" w:cs="宋体"/>
          <w:color w:val="000000" w:themeColor="text1"/>
          <w:sz w:val="24"/>
          <w:szCs w:val="24"/>
          <w:shd w:val="clear" w:color="auto" w:fill="FFFFFF"/>
        </w:rPr>
        <w:t>蓝田股份从“中国农业第一股”变成退市股、康美药业近300亿财务造假的案例</w:t>
      </w:r>
      <w:r>
        <w:rPr>
          <w:rFonts w:ascii="仿宋_GB2312" w:hAnsi="宋体" w:cs="宋体"/>
          <w:color w:val="000000" w:themeColor="text1"/>
          <w:sz w:val="24"/>
          <w:szCs w:val="24"/>
          <w:shd w:val="clear" w:color="auto" w:fill="FFFFFF"/>
        </w:rPr>
        <w:t>，组织学生在超星APP上展开讨论，对讨论结果形成书面文档。通过热点学习，要求学生强化</w:t>
      </w:r>
      <w:r>
        <w:rPr>
          <w:rFonts w:hint="eastAsia" w:ascii="仿宋_GB2312" w:hAnsi="宋体" w:cs="宋体"/>
          <w:color w:val="000000" w:themeColor="text1"/>
          <w:sz w:val="24"/>
          <w:szCs w:val="24"/>
          <w:shd w:val="clear" w:color="auto" w:fill="FFFFFF"/>
        </w:rPr>
        <w:t>本节课所学习的知识点及所体现的职业素养</w:t>
      </w:r>
      <w:r>
        <w:rPr>
          <w:rFonts w:ascii="仿宋_GB2312" w:hAnsi="宋体" w:cs="宋体"/>
          <w:color w:val="000000" w:themeColor="text1"/>
          <w:sz w:val="24"/>
          <w:szCs w:val="24"/>
          <w:shd w:val="clear" w:color="auto" w:fill="FFFFFF"/>
        </w:rPr>
        <w:t>，</w:t>
      </w:r>
      <w:r>
        <w:rPr>
          <w:rFonts w:hint="eastAsia" w:ascii="仿宋_GB2312" w:hAnsi="宋体" w:cs="宋体"/>
          <w:color w:val="000000" w:themeColor="text1"/>
          <w:sz w:val="24"/>
          <w:szCs w:val="24"/>
          <w:shd w:val="clear" w:color="auto" w:fill="FFFFFF"/>
        </w:rPr>
        <w:t>培养学生养成正确的劳动价值观</w:t>
      </w:r>
      <w:r>
        <w:rPr>
          <w:rFonts w:ascii="仿宋_GB2312" w:hAnsi="宋体" w:cs="宋体"/>
          <w:color w:val="000000" w:themeColor="text1"/>
          <w:sz w:val="24"/>
          <w:szCs w:val="24"/>
          <w:shd w:val="clear" w:color="auto" w:fill="FFFFFF"/>
        </w:rPr>
        <w:t>，</w:t>
      </w:r>
      <w:r>
        <w:rPr>
          <w:rFonts w:hint="eastAsia" w:ascii="仿宋_GB2312" w:hAnsi="宋体" w:cs="宋体"/>
          <w:color w:val="000000" w:themeColor="text1"/>
          <w:sz w:val="24"/>
          <w:szCs w:val="24"/>
          <w:shd w:val="clear" w:color="auto" w:fill="FFFFFF"/>
        </w:rPr>
        <w:t>最终</w:t>
      </w:r>
      <w:r>
        <w:rPr>
          <w:rFonts w:ascii="仿宋_GB2312" w:hAnsi="宋体" w:cs="宋体"/>
          <w:color w:val="000000" w:themeColor="text1"/>
          <w:sz w:val="24"/>
          <w:szCs w:val="24"/>
          <w:shd w:val="clear" w:color="auto" w:fill="FFFFFF"/>
        </w:rPr>
        <w:t>完成</w:t>
      </w:r>
      <w:r>
        <w:rPr>
          <w:rFonts w:hint="eastAsia" w:ascii="仿宋_GB2312" w:hAnsi="宋体" w:cs="宋体"/>
          <w:color w:val="000000" w:themeColor="text1"/>
          <w:sz w:val="24"/>
          <w:szCs w:val="24"/>
          <w:shd w:val="clear" w:color="auto" w:fill="FFFFFF"/>
        </w:rPr>
        <w:t>劳动教育</w:t>
      </w:r>
      <w:r>
        <w:rPr>
          <w:rFonts w:ascii="仿宋_GB2312" w:hAnsi="宋体" w:cs="宋体"/>
          <w:color w:val="000000" w:themeColor="text1"/>
          <w:sz w:val="24"/>
          <w:szCs w:val="24"/>
          <w:shd w:val="clear" w:color="auto" w:fill="FFFFFF"/>
        </w:rPr>
        <w:t>教学任务。</w:t>
      </w:r>
    </w:p>
    <w:p w14:paraId="7E13A493">
      <w:pPr>
        <w:pStyle w:val="9"/>
        <w:ind w:firstLine="480"/>
        <w:rPr>
          <w:rFonts w:hint="eastAsia" w:ascii="宋体" w:hAnsi="宋体" w:cs="宋体"/>
          <w:sz w:val="24"/>
          <w:szCs w:val="24"/>
        </w:rPr>
      </w:pPr>
      <w:r>
        <w:drawing>
          <wp:anchor distT="0" distB="0" distL="114300" distR="114300" simplePos="0" relativeHeight="251669504" behindDoc="0" locked="0" layoutInCell="1" allowOverlap="1">
            <wp:simplePos x="0" y="0"/>
            <wp:positionH relativeFrom="column">
              <wp:posOffset>3762375</wp:posOffset>
            </wp:positionH>
            <wp:positionV relativeFrom="paragraph">
              <wp:posOffset>120650</wp:posOffset>
            </wp:positionV>
            <wp:extent cx="1722755" cy="1670050"/>
            <wp:effectExtent l="0" t="0" r="0" b="0"/>
            <wp:wrapNone/>
            <wp:docPr id="102" name="图片 101"/>
            <wp:cNvGraphicFramePr/>
            <a:graphic xmlns:a="http://schemas.openxmlformats.org/drawingml/2006/main">
              <a:graphicData uri="http://schemas.openxmlformats.org/drawingml/2006/picture">
                <pic:pic xmlns:pic="http://schemas.openxmlformats.org/drawingml/2006/picture">
                  <pic:nvPicPr>
                    <pic:cNvPr id="102" name="图片 101"/>
                    <pic:cNvPicPr/>
                  </pic:nvPicPr>
                  <pic:blipFill>
                    <a:blip r:embed="rId32">
                      <a:extLst>
                        <a:ext uri="{28A0092B-C50C-407E-A947-70E740481C1C}">
                          <a14:useLocalDpi xmlns:a14="http://schemas.microsoft.com/office/drawing/2010/main" val="0"/>
                        </a:ext>
                      </a:extLst>
                    </a:blip>
                    <a:stretch>
                      <a:fillRect/>
                    </a:stretch>
                  </pic:blipFill>
                  <pic:spPr>
                    <a:xfrm>
                      <a:off x="0" y="0"/>
                      <a:ext cx="1722755" cy="1670050"/>
                    </a:xfrm>
                    <a:prstGeom prst="rect">
                      <a:avLst/>
                    </a:prstGeom>
                    <a:noFill/>
                    <a:ln w="9525">
                      <a:noFill/>
                    </a:ln>
                  </pic:spPr>
                </pic:pic>
              </a:graphicData>
            </a:graphic>
          </wp:anchor>
        </w:drawing>
      </w:r>
      <w:r>
        <w:rPr>
          <w:rFonts w:ascii="宋体" w:hAnsi="宋体" w:cs="宋体"/>
          <w:sz w:val="24"/>
          <w:szCs w:val="24"/>
        </w:rPr>
        <w:drawing>
          <wp:inline distT="0" distB="0" distL="114300" distR="114300">
            <wp:extent cx="1852930" cy="1652905"/>
            <wp:effectExtent l="0" t="0" r="0" b="0"/>
            <wp:docPr id="4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descr="IMG_256"/>
                    <pic:cNvPicPr>
                      <a:picLocks noChangeAspect="1"/>
                    </pic:cNvPicPr>
                  </pic:nvPicPr>
                  <pic:blipFill>
                    <a:blip r:embed="rId33"/>
                    <a:stretch>
                      <a:fillRect/>
                    </a:stretch>
                  </pic:blipFill>
                  <pic:spPr>
                    <a:xfrm>
                      <a:off x="0" y="0"/>
                      <a:ext cx="1862920" cy="1661599"/>
                    </a:xfrm>
                    <a:prstGeom prst="rect">
                      <a:avLst/>
                    </a:prstGeom>
                    <a:noFill/>
                    <a:ln w="9525">
                      <a:noFill/>
                    </a:ln>
                  </pic:spPr>
                </pic:pic>
              </a:graphicData>
            </a:graphic>
          </wp:inline>
        </w:drawing>
      </w:r>
      <w:r>
        <w:drawing>
          <wp:inline distT="0" distB="0" distL="114300" distR="114300">
            <wp:extent cx="1600200" cy="1652905"/>
            <wp:effectExtent l="0" t="0" r="0" b="0"/>
            <wp:docPr id="101" name="图片 100"/>
            <wp:cNvGraphicFramePr/>
            <a:graphic xmlns:a="http://schemas.openxmlformats.org/drawingml/2006/main">
              <a:graphicData uri="http://schemas.openxmlformats.org/drawingml/2006/picture">
                <pic:pic xmlns:pic="http://schemas.openxmlformats.org/drawingml/2006/picture">
                  <pic:nvPicPr>
                    <pic:cNvPr id="101" name="图片 100"/>
                    <pic:cNvPicPr/>
                  </pic:nvPicPr>
                  <pic:blipFill>
                    <a:blip r:embed="rId34"/>
                    <a:stretch>
                      <a:fillRect/>
                    </a:stretch>
                  </pic:blipFill>
                  <pic:spPr>
                    <a:xfrm>
                      <a:off x="0" y="0"/>
                      <a:ext cx="1604173" cy="1657058"/>
                    </a:xfrm>
                    <a:prstGeom prst="rect">
                      <a:avLst/>
                    </a:prstGeom>
                    <a:noFill/>
                    <a:ln w="9525">
                      <a:noFill/>
                    </a:ln>
                  </pic:spPr>
                </pic:pic>
              </a:graphicData>
            </a:graphic>
          </wp:inline>
        </w:drawing>
      </w:r>
    </w:p>
    <w:p w14:paraId="529D9D07">
      <w:pPr>
        <w:spacing w:line="360" w:lineRule="auto"/>
        <w:ind w:firstLine="422"/>
        <w:jc w:val="center"/>
        <w:rPr>
          <w:rFonts w:hint="eastAsia" w:ascii="宋体" w:hAnsi="宋体" w:cs="宋体"/>
          <w:color w:val="000000" w:themeColor="text1"/>
          <w:sz w:val="24"/>
          <w:shd w:val="clear" w:color="auto" w:fill="FFFFFF"/>
        </w:rPr>
      </w:pPr>
      <w:r>
        <w:rPr>
          <w:rFonts w:hint="eastAsia" w:ascii="宋体" w:hAnsi="宋体" w:eastAsia="宋体" w:cs="宋体"/>
          <w:b/>
          <w:bCs/>
          <w:color w:val="000000" w:themeColor="text1"/>
          <w:sz w:val="21"/>
          <w:szCs w:val="21"/>
          <w:shd w:val="clear" w:color="auto" w:fill="FFFFFF"/>
        </w:rPr>
        <w:t>图10 课后拓展：对</w:t>
      </w:r>
      <w:r>
        <w:rPr>
          <w:rFonts w:hint="eastAsia" w:ascii="宋体" w:hAnsi="宋体" w:cs="宋体"/>
          <w:b/>
          <w:bCs/>
          <w:color w:val="000000" w:themeColor="text1"/>
          <w:sz w:val="21"/>
          <w:szCs w:val="21"/>
          <w:shd w:val="clear" w:color="auto" w:fill="FFFFFF"/>
        </w:rPr>
        <w:t>社会热点事件</w:t>
      </w:r>
      <w:r>
        <w:rPr>
          <w:rFonts w:hint="eastAsia" w:ascii="宋体" w:hAnsi="宋体" w:eastAsia="宋体" w:cs="宋体"/>
          <w:b/>
          <w:bCs/>
          <w:color w:val="000000" w:themeColor="text1"/>
          <w:sz w:val="21"/>
          <w:szCs w:val="21"/>
          <w:shd w:val="clear" w:color="auto" w:fill="FFFFFF"/>
        </w:rPr>
        <w:t>的思考</w:t>
      </w:r>
    </w:p>
    <w:p w14:paraId="039DF8AD">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（五）案例教学方法</w:t>
      </w:r>
    </w:p>
    <w:p w14:paraId="5E59C43C">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根据教学内容和具体学情，整个教学中综合运用引导法、讲授法、案例法、提问法、小组讨论法等多种方法。例如，在课堂开始时引入本节知识点相关的最新案例或者通过设疑法融入具体实践问题，营造业务情境，帮助学生快速进入学习氛围。这样既能够提高学生的参与度，又能够激发其主动性。在具体讲授后，将学生以小组为单位，围绕各章节知识点，结合所用案例中的开放式问题，鼓励学生各抒己见，进行讨论或辩论活动，启发学生多元化思考，培养其合作精神，激发其学习主动性和独立性。</w:t>
      </w:r>
    </w:p>
    <w:p w14:paraId="34CA2543">
      <w:pPr>
        <w:pStyle w:val="4"/>
        <w:spacing w:before="0" w:after="0" w:line="560" w:lineRule="exact"/>
        <w:ind w:firstLine="480"/>
        <w:rPr>
          <w:rFonts w:hint="eastAsia" w:ascii="楷体" w:hAnsi="楷体" w:eastAsia="楷体"/>
          <w:sz w:val="24"/>
          <w:szCs w:val="24"/>
        </w:rPr>
      </w:pPr>
      <w:r>
        <w:rPr>
          <w:rFonts w:hint="eastAsia" w:ascii="楷体" w:hAnsi="楷体" w:eastAsia="楷体"/>
          <w:sz w:val="24"/>
          <w:szCs w:val="24"/>
        </w:rPr>
        <w:t>（六）案例教学特色与创新</w:t>
      </w:r>
    </w:p>
    <w:p w14:paraId="4A0451A8">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1.充分采用多元教学手段。</w:t>
      </w:r>
    </w:p>
    <w:p w14:paraId="22BD7D77">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开展线上、线下混合式教学，通过线上线下相结合将劳动教育元素借由最新案例、生动视频等多元形式融入课堂，而非枯燥地说教。课前，借助超星APP向学生发送教学大纲、视频、课件等资源，让学生利用碎片化的课余时间在线上进行课前知识预习，延长学生的课堂学习时间。课中，教师依托职业判断以及案例分享等环节与学生面对面交流，避免了课堂上教育导致的道德情感缺失问题，同时可以克服知识点讲授遗漏的问题，有利于学生劳动价值观的塑造。课后，通过超星APP布置作业，让学生在APP上完成作业、讨论、答疑等相关活动，教师点评，有效完成劳动教育教学任务。劳动教育绝不是生硬地在专业课中讲授劳动内容，而是将劳动教育元素有机融入专业课教学中，将劳动教育之“盐”，融于课程之“汤”。 </w:t>
      </w:r>
    </w:p>
    <w:p w14:paraId="5A82F321">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2.创设教学情境，激发深层思考。</w:t>
      </w:r>
    </w:p>
    <w:p w14:paraId="6CB61BF7">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对于《财务会计》课程来说，与现实实践贴合紧，对职业道德要求高，因而使知识的获取和劳动价值观塑造在教学中有效配置尤为必要。通过系统地教学设计，例如在“思考与讨论”环节，通过不断转换预设身份，激发学生思考在不同情境下的劳动价值观选择，加大对青年学生的劳动价值观培养要求与本课程在知识层面的契合度，在提升其专业素养的同时锻造其劳动素质和职业修养。 </w:t>
      </w:r>
    </w:p>
    <w:p w14:paraId="215BD0E9">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3.突出学生主体地位。</w:t>
      </w:r>
    </w:p>
    <w:p w14:paraId="5A6A4FFD">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采用以学生为中心的参与式教学活动，通过案例引入和问题导向式学习，鼓励学生思考、讨论、踊跃发言，激发学生的学习兴趣和对所学内容的总括了解。然后通过及时地考核评价来掌握学生的实际学习情况，以对教学过程进行动态调整从而达到最佳的劳动教育教学效果。</w:t>
      </w:r>
    </w:p>
    <w:p w14:paraId="3B8B727B">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4.专业课程融入劳动教育</w:t>
      </w:r>
    </w:p>
    <w:p w14:paraId="6FB39CCA">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在专业课教学中融入劳动教育内容，可以达到对大学生劳动价值观的教育，使之更具感染力，从而潜移默化地让学生们将课堂上学到的知识形成他们的职业道德、家庭美德、个人品德，真正实现知行合一，实现专业课融入劳动教育教学的最终目标。</w:t>
      </w:r>
    </w:p>
    <w:p w14:paraId="5892F5DB">
      <w:pPr>
        <w:pStyle w:val="11"/>
        <w:widowControl/>
        <w:shd w:val="clear" w:color="auto" w:fill="FFFFFF"/>
        <w:spacing w:beforeAutospacing="0" w:afterAutospacing="0" w:line="360" w:lineRule="auto"/>
        <w:ind w:firstLine="480"/>
        <w:rPr>
          <w:rFonts w:hint="eastAsia" w:ascii="宋体" w:hAnsi="宋体" w:cs="宋体"/>
          <w:color w:val="000000" w:themeColor="text1"/>
          <w:shd w:val="clear" w:color="auto" w:fill="FFFFFF"/>
        </w:rPr>
      </w:pPr>
      <w:r>
        <w:rPr>
          <w:rFonts w:hint="eastAsia" w:ascii="楷体" w:hAnsi="楷体" w:eastAsia="楷体"/>
        </w:rPr>
        <w:t>（六）案例教学效果</w:t>
      </w:r>
    </w:p>
    <w:p w14:paraId="18EEB1CC">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1.提高学习兴趣，树立正确的劳动价值观。教学方式充分利用超星APP辅助学习的功能，可以有效激发学生的学习兴趣，让学生积极参与课堂讨论，保证课堂气氛的活跃，提高学生的学习效率。在专业理论讲授中穿插劳动教育具体案例，可以使教学通俗易懂，引起学生共鸣，有效引导学生自觉树立正确的劳动价值观。</w:t>
      </w:r>
    </w:p>
    <w:p w14:paraId="18278D6B">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2.提供学术论文或毕业论文素材。通过课堂相关案例的学习，提升学生的研究兴趣，通过从不同层面对案例的讨论和解读，拓展学生的视角和思路，鼓励感兴趣的学生深入研究并撰写相关学术论文或者为后续毕业论文选题做好资料准备，深化其专业水平。 </w:t>
      </w:r>
    </w:p>
    <w:p w14:paraId="4068FF16">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 xml:space="preserve">3.提升学科竞赛的参与度和获奖率。会计类或者财务管理类的技能挑战赛较多，在知识传授和技能训练的过程中，有意识地向学生传达参加该类学科竞赛的必要性和注意点。竞赛成果表现形式无论是实操技能还是分析报告，都会运用相关会计理论、方法和技能，进而形成可信、可行的竞赛方案，提高竞赛成功率。 </w:t>
      </w:r>
    </w:p>
    <w:p w14:paraId="170ED832">
      <w:pPr>
        <w:spacing w:line="360" w:lineRule="auto"/>
        <w:ind w:firstLine="480"/>
        <w:rPr>
          <w:rFonts w:hint="eastAsia" w:ascii="仿宋_GB2312" w:hAnsi="宋体" w:cs="宋体"/>
          <w:color w:val="000000" w:themeColor="text1"/>
          <w:sz w:val="24"/>
          <w:szCs w:val="24"/>
          <w:shd w:val="clear" w:color="auto" w:fill="FFFFFF"/>
        </w:rPr>
      </w:pPr>
      <w:r>
        <w:rPr>
          <w:rFonts w:hint="eastAsia" w:ascii="仿宋_GB2312" w:hAnsi="宋体" w:cs="宋体"/>
          <w:color w:val="000000" w:themeColor="text1"/>
          <w:sz w:val="24"/>
          <w:szCs w:val="24"/>
          <w:shd w:val="clear" w:color="auto" w:fill="FFFFFF"/>
        </w:rPr>
        <w:t>4.强化团队的教学水平。课程组通过线上线下讨论、分析和比较各团队成员编写的劳动教育教学案例，提出中肯的意见和建议，不断对案例进行优化改进，并在课程组中实施，以分享教学经验并不断提升团队教学水平。</w:t>
      </w:r>
    </w:p>
    <w:p w14:paraId="2F88AA8A">
      <w:pPr>
        <w:spacing w:line="360" w:lineRule="auto"/>
        <w:ind w:firstLine="480"/>
        <w:rPr>
          <w:rFonts w:hint="eastAsia" w:ascii="仿宋_GB2312" w:hAnsi="宋体" w:cs="宋体"/>
          <w:color w:val="000000" w:themeColor="text1"/>
          <w:sz w:val="24"/>
          <w:szCs w:val="24"/>
          <w:shd w:val="clear" w:color="auto" w:fill="FFFFFF"/>
        </w:rPr>
      </w:pPr>
    </w:p>
    <w:p w14:paraId="290348B3">
      <w:pPr>
        <w:spacing w:line="360" w:lineRule="auto"/>
        <w:ind w:firstLine="480"/>
        <w:rPr>
          <w:rFonts w:hint="eastAsia" w:ascii="仿宋_GB2312" w:hAnsi="宋体" w:cs="宋体"/>
          <w:color w:val="000000" w:themeColor="text1"/>
          <w:sz w:val="24"/>
          <w:szCs w:val="24"/>
          <w:shd w:val="clear" w:color="auto" w:fill="FFFFFF"/>
        </w:rPr>
      </w:pPr>
    </w:p>
    <w:p w14:paraId="7E08C953">
      <w:pPr>
        <w:snapToGrid w:val="0"/>
        <w:spacing w:line="400" w:lineRule="exact"/>
        <w:ind w:firstLine="436"/>
        <w:jc w:val="right"/>
        <w:rPr>
          <w:rFonts w:hint="eastAsia" w:eastAsia="方正小标宋简体" w:asciiTheme="majorHAnsi" w:hAnsiTheme="majorHAnsi" w:cstheme="majorBidi"/>
          <w:bCs/>
          <w:szCs w:val="32"/>
        </w:rPr>
      </w:pPr>
      <w:r>
        <w:rPr>
          <w:rFonts w:hint="eastAsia" w:ascii="仿宋" w:hAnsi="仿宋" w:eastAsia="仿宋" w:cs="Times New Roman"/>
          <w:spacing w:val="-11"/>
          <w:sz w:val="24"/>
        </w:rPr>
        <w:t>(案例来源：山东财经大学东方学院教师张敏)</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楷体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script"/>
    <w:pitch w:val="default"/>
    <w:sig w:usb0="00000001" w:usb1="080E0000" w:usb2="00000000" w:usb3="00000000" w:csb0="00040000" w:csb1="00000000"/>
  </w:font>
  <w:font w:name="Courier New">
    <w:panose1 w:val="02070309020205020404"/>
    <w:charset w:val="00"/>
    <w:family w:val="modern"/>
    <w:pitch w:val="default"/>
    <w:sig w:usb0="E0002EFF" w:usb1="C0007843" w:usb2="00000009" w:usb3="00000000" w:csb0="400001FF" w:csb1="FFFF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61058588"/>
      <w:docPartObj>
        <w:docPartGallery w:val="AutoText"/>
      </w:docPartObj>
    </w:sdtPr>
    <w:sdtContent>
      <w:p w14:paraId="7CBFCCCA">
        <w:pPr>
          <w:pStyle w:val="7"/>
          <w:ind w:firstLine="360"/>
          <w:jc w:val="center"/>
          <w:rPr>
            <w:rFonts w:hint="eastAsia"/>
          </w:rPr>
        </w:pPr>
        <w:r>
          <w:fldChar w:fldCharType="begin"/>
        </w:r>
        <w:r>
          <w:instrText xml:space="preserve">PAGE   \* MERGEFORMAT</w:instrText>
        </w:r>
        <w:r>
          <w:fldChar w:fldCharType="separate"/>
        </w:r>
        <w:r>
          <w:rPr>
            <w:lang w:val="zh-CN"/>
          </w:rPr>
          <w:t>7</w:t>
        </w:r>
        <w:r>
          <w:fldChar w:fldCharType="end"/>
        </w:r>
      </w:p>
    </w:sdtContent>
  </w:sdt>
  <w:p w14:paraId="652051C6">
    <w:pPr>
      <w:pStyle w:val="7"/>
      <w:ind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34E836">
    <w:pPr>
      <w:pStyle w:val="7"/>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5D160">
    <w:pPr>
      <w:pStyle w:val="7"/>
      <w:ind w:firstLine="360"/>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4EAEC6">
    <w:pPr>
      <w:pStyle w:val="8"/>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4A305">
    <w:pPr>
      <w:pStyle w:val="8"/>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2DA2B7">
    <w:pPr>
      <w:pStyle w:val="8"/>
      <w:ind w:firstLine="360"/>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mY0NzJkYmY2OTIwY2YzMTlhMGM4ZTY5YzUxZmFlMWEifQ=="/>
  </w:docVars>
  <w:rsids>
    <w:rsidRoot w:val="00763E3F"/>
    <w:rsid w:val="00001354"/>
    <w:rsid w:val="00004CA9"/>
    <w:rsid w:val="00006CFB"/>
    <w:rsid w:val="00032625"/>
    <w:rsid w:val="000354F9"/>
    <w:rsid w:val="0005309E"/>
    <w:rsid w:val="000574F0"/>
    <w:rsid w:val="000756FF"/>
    <w:rsid w:val="00096411"/>
    <w:rsid w:val="000A7A56"/>
    <w:rsid w:val="000B03AE"/>
    <w:rsid w:val="000C576C"/>
    <w:rsid w:val="000D07E6"/>
    <w:rsid w:val="000E27CA"/>
    <w:rsid w:val="00130ECC"/>
    <w:rsid w:val="001327BD"/>
    <w:rsid w:val="0014312B"/>
    <w:rsid w:val="00147C36"/>
    <w:rsid w:val="00162C09"/>
    <w:rsid w:val="00186642"/>
    <w:rsid w:val="00191095"/>
    <w:rsid w:val="0019188B"/>
    <w:rsid w:val="001B1F00"/>
    <w:rsid w:val="001E0FC2"/>
    <w:rsid w:val="001E3335"/>
    <w:rsid w:val="00204351"/>
    <w:rsid w:val="00232D35"/>
    <w:rsid w:val="002421D2"/>
    <w:rsid w:val="002433B7"/>
    <w:rsid w:val="0025008F"/>
    <w:rsid w:val="00257B24"/>
    <w:rsid w:val="0027450C"/>
    <w:rsid w:val="002772FA"/>
    <w:rsid w:val="0027732C"/>
    <w:rsid w:val="00284A0E"/>
    <w:rsid w:val="00287E56"/>
    <w:rsid w:val="002A3A74"/>
    <w:rsid w:val="002A40BE"/>
    <w:rsid w:val="002B723E"/>
    <w:rsid w:val="002C157D"/>
    <w:rsid w:val="002D261C"/>
    <w:rsid w:val="002D63E9"/>
    <w:rsid w:val="002E1409"/>
    <w:rsid w:val="002E3684"/>
    <w:rsid w:val="002F7964"/>
    <w:rsid w:val="003008B8"/>
    <w:rsid w:val="00302419"/>
    <w:rsid w:val="0030692F"/>
    <w:rsid w:val="00325443"/>
    <w:rsid w:val="0033526B"/>
    <w:rsid w:val="00390A9B"/>
    <w:rsid w:val="003A2D78"/>
    <w:rsid w:val="003B0CC4"/>
    <w:rsid w:val="003B2A47"/>
    <w:rsid w:val="003B3D9B"/>
    <w:rsid w:val="003E1F51"/>
    <w:rsid w:val="0040709D"/>
    <w:rsid w:val="004117A9"/>
    <w:rsid w:val="00412EC6"/>
    <w:rsid w:val="00424C20"/>
    <w:rsid w:val="00430275"/>
    <w:rsid w:val="00436F7A"/>
    <w:rsid w:val="004473F8"/>
    <w:rsid w:val="00454861"/>
    <w:rsid w:val="004559D9"/>
    <w:rsid w:val="00461084"/>
    <w:rsid w:val="00475AE6"/>
    <w:rsid w:val="00476B79"/>
    <w:rsid w:val="0049539F"/>
    <w:rsid w:val="004A30C3"/>
    <w:rsid w:val="004A61C4"/>
    <w:rsid w:val="004B0AC6"/>
    <w:rsid w:val="004B0B75"/>
    <w:rsid w:val="004B62B9"/>
    <w:rsid w:val="004C2AA2"/>
    <w:rsid w:val="004C5A9B"/>
    <w:rsid w:val="005077DE"/>
    <w:rsid w:val="0051104F"/>
    <w:rsid w:val="00513A5F"/>
    <w:rsid w:val="00526C0F"/>
    <w:rsid w:val="00534204"/>
    <w:rsid w:val="00537A87"/>
    <w:rsid w:val="00537CAD"/>
    <w:rsid w:val="00541ED1"/>
    <w:rsid w:val="005452AF"/>
    <w:rsid w:val="00594727"/>
    <w:rsid w:val="005C5A21"/>
    <w:rsid w:val="005C7B2E"/>
    <w:rsid w:val="005D0CE3"/>
    <w:rsid w:val="005D37E6"/>
    <w:rsid w:val="005F35BF"/>
    <w:rsid w:val="00602C10"/>
    <w:rsid w:val="00624E21"/>
    <w:rsid w:val="00625E83"/>
    <w:rsid w:val="006446C6"/>
    <w:rsid w:val="00647C25"/>
    <w:rsid w:val="00655F13"/>
    <w:rsid w:val="006638DB"/>
    <w:rsid w:val="006715A4"/>
    <w:rsid w:val="00673033"/>
    <w:rsid w:val="0068112A"/>
    <w:rsid w:val="006962FE"/>
    <w:rsid w:val="006A0C93"/>
    <w:rsid w:val="006A375F"/>
    <w:rsid w:val="006B4A35"/>
    <w:rsid w:val="006B60E2"/>
    <w:rsid w:val="006D42EB"/>
    <w:rsid w:val="0070078A"/>
    <w:rsid w:val="00717E43"/>
    <w:rsid w:val="00723874"/>
    <w:rsid w:val="00733B47"/>
    <w:rsid w:val="007341B0"/>
    <w:rsid w:val="0074729A"/>
    <w:rsid w:val="00751E4A"/>
    <w:rsid w:val="007537BA"/>
    <w:rsid w:val="007550C6"/>
    <w:rsid w:val="007606C7"/>
    <w:rsid w:val="00763E3F"/>
    <w:rsid w:val="00794CD7"/>
    <w:rsid w:val="00796C44"/>
    <w:rsid w:val="007B2332"/>
    <w:rsid w:val="007C40CF"/>
    <w:rsid w:val="007D256C"/>
    <w:rsid w:val="007D6504"/>
    <w:rsid w:val="007E2690"/>
    <w:rsid w:val="007F1633"/>
    <w:rsid w:val="00810623"/>
    <w:rsid w:val="00814BA5"/>
    <w:rsid w:val="00816C41"/>
    <w:rsid w:val="00821D49"/>
    <w:rsid w:val="00823468"/>
    <w:rsid w:val="00824E65"/>
    <w:rsid w:val="00825D03"/>
    <w:rsid w:val="0083342E"/>
    <w:rsid w:val="008361B6"/>
    <w:rsid w:val="00840B86"/>
    <w:rsid w:val="00840F2D"/>
    <w:rsid w:val="00846340"/>
    <w:rsid w:val="008559D8"/>
    <w:rsid w:val="00865C82"/>
    <w:rsid w:val="00867985"/>
    <w:rsid w:val="008712EB"/>
    <w:rsid w:val="008779C4"/>
    <w:rsid w:val="00881685"/>
    <w:rsid w:val="00891FB6"/>
    <w:rsid w:val="0089379A"/>
    <w:rsid w:val="008951EE"/>
    <w:rsid w:val="008973BE"/>
    <w:rsid w:val="008A5008"/>
    <w:rsid w:val="008A73BB"/>
    <w:rsid w:val="008D4592"/>
    <w:rsid w:val="008E614C"/>
    <w:rsid w:val="008F0C7C"/>
    <w:rsid w:val="00902598"/>
    <w:rsid w:val="00927307"/>
    <w:rsid w:val="009457BE"/>
    <w:rsid w:val="00955335"/>
    <w:rsid w:val="00973D87"/>
    <w:rsid w:val="00975856"/>
    <w:rsid w:val="00995867"/>
    <w:rsid w:val="009A376C"/>
    <w:rsid w:val="009A41AE"/>
    <w:rsid w:val="009A6D63"/>
    <w:rsid w:val="009B6CAB"/>
    <w:rsid w:val="009B6EAA"/>
    <w:rsid w:val="009B70D7"/>
    <w:rsid w:val="009C6C2E"/>
    <w:rsid w:val="009D661E"/>
    <w:rsid w:val="00A04BC8"/>
    <w:rsid w:val="00A07B20"/>
    <w:rsid w:val="00A167D3"/>
    <w:rsid w:val="00A2081E"/>
    <w:rsid w:val="00A26E7A"/>
    <w:rsid w:val="00A35D18"/>
    <w:rsid w:val="00A44202"/>
    <w:rsid w:val="00A442CA"/>
    <w:rsid w:val="00A51700"/>
    <w:rsid w:val="00A53E37"/>
    <w:rsid w:val="00A572E9"/>
    <w:rsid w:val="00A60F2E"/>
    <w:rsid w:val="00A622DA"/>
    <w:rsid w:val="00A73CD1"/>
    <w:rsid w:val="00A916AC"/>
    <w:rsid w:val="00A96945"/>
    <w:rsid w:val="00AB26C6"/>
    <w:rsid w:val="00AC2E93"/>
    <w:rsid w:val="00AD4C35"/>
    <w:rsid w:val="00AF11D7"/>
    <w:rsid w:val="00AF6BA0"/>
    <w:rsid w:val="00B01AAB"/>
    <w:rsid w:val="00B121BC"/>
    <w:rsid w:val="00B36279"/>
    <w:rsid w:val="00B3755E"/>
    <w:rsid w:val="00B43CED"/>
    <w:rsid w:val="00B508F8"/>
    <w:rsid w:val="00B66A3D"/>
    <w:rsid w:val="00B87BDB"/>
    <w:rsid w:val="00B94A22"/>
    <w:rsid w:val="00C01468"/>
    <w:rsid w:val="00C02676"/>
    <w:rsid w:val="00C0587B"/>
    <w:rsid w:val="00C161A1"/>
    <w:rsid w:val="00C25553"/>
    <w:rsid w:val="00C35A13"/>
    <w:rsid w:val="00C52C27"/>
    <w:rsid w:val="00C576AF"/>
    <w:rsid w:val="00C61869"/>
    <w:rsid w:val="00C70FBE"/>
    <w:rsid w:val="00C75796"/>
    <w:rsid w:val="00C82442"/>
    <w:rsid w:val="00C82C60"/>
    <w:rsid w:val="00C83B2B"/>
    <w:rsid w:val="00C85585"/>
    <w:rsid w:val="00C97401"/>
    <w:rsid w:val="00CA500B"/>
    <w:rsid w:val="00CA75AB"/>
    <w:rsid w:val="00CC37BC"/>
    <w:rsid w:val="00CC719C"/>
    <w:rsid w:val="00CD0942"/>
    <w:rsid w:val="00CD4FC3"/>
    <w:rsid w:val="00CE79D9"/>
    <w:rsid w:val="00CF443A"/>
    <w:rsid w:val="00D1642E"/>
    <w:rsid w:val="00D268C0"/>
    <w:rsid w:val="00D61887"/>
    <w:rsid w:val="00D63290"/>
    <w:rsid w:val="00D9447B"/>
    <w:rsid w:val="00DA5FFF"/>
    <w:rsid w:val="00DB2194"/>
    <w:rsid w:val="00DC3990"/>
    <w:rsid w:val="00DD0095"/>
    <w:rsid w:val="00DE3F2C"/>
    <w:rsid w:val="00DE53A7"/>
    <w:rsid w:val="00DE67B5"/>
    <w:rsid w:val="00DF0FB7"/>
    <w:rsid w:val="00E006BD"/>
    <w:rsid w:val="00E01346"/>
    <w:rsid w:val="00E0788D"/>
    <w:rsid w:val="00E10DCB"/>
    <w:rsid w:val="00E11059"/>
    <w:rsid w:val="00E12B45"/>
    <w:rsid w:val="00E2079F"/>
    <w:rsid w:val="00E2230E"/>
    <w:rsid w:val="00E25C71"/>
    <w:rsid w:val="00E27688"/>
    <w:rsid w:val="00E33B5B"/>
    <w:rsid w:val="00E411B4"/>
    <w:rsid w:val="00E55D30"/>
    <w:rsid w:val="00E6769D"/>
    <w:rsid w:val="00E852A7"/>
    <w:rsid w:val="00EA5980"/>
    <w:rsid w:val="00ED073A"/>
    <w:rsid w:val="00EE6C52"/>
    <w:rsid w:val="00EF1B48"/>
    <w:rsid w:val="00EF355B"/>
    <w:rsid w:val="00EF6168"/>
    <w:rsid w:val="00F25577"/>
    <w:rsid w:val="00F30D7E"/>
    <w:rsid w:val="00F32446"/>
    <w:rsid w:val="00F37B95"/>
    <w:rsid w:val="00F412AC"/>
    <w:rsid w:val="00F445BF"/>
    <w:rsid w:val="00F70B73"/>
    <w:rsid w:val="00F720C2"/>
    <w:rsid w:val="00F85F32"/>
    <w:rsid w:val="00FB29F0"/>
    <w:rsid w:val="00FB68C1"/>
    <w:rsid w:val="00FB7575"/>
    <w:rsid w:val="00FD138A"/>
    <w:rsid w:val="00FD2935"/>
    <w:rsid w:val="00FD5A45"/>
    <w:rsid w:val="0EBE52F3"/>
    <w:rsid w:val="5D78386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80" w:lineRule="exact"/>
      <w:ind w:firstLine="200" w:firstLineChars="200"/>
      <w:jc w:val="both"/>
    </w:pPr>
    <w:rPr>
      <w:rFonts w:eastAsia="仿宋_GB2312" w:asciiTheme="minorHAnsi" w:hAnsiTheme="minorHAnsi" w:cstheme="minorBidi"/>
      <w:kern w:val="2"/>
      <w:sz w:val="32"/>
      <w:szCs w:val="22"/>
      <w:lang w:val="en-US" w:eastAsia="zh-CN" w:bidi="ar-SA"/>
    </w:rPr>
  </w:style>
  <w:style w:type="paragraph" w:styleId="2">
    <w:name w:val="heading 1"/>
    <w:basedOn w:val="1"/>
    <w:next w:val="1"/>
    <w:link w:val="18"/>
    <w:qFormat/>
    <w:uiPriority w:val="9"/>
    <w:pPr>
      <w:keepNext/>
      <w:keepLines/>
      <w:jc w:val="left"/>
      <w:outlineLvl w:val="0"/>
    </w:pPr>
    <w:rPr>
      <w:rFonts w:eastAsia="黑体"/>
      <w:bCs/>
      <w:kern w:val="44"/>
      <w:szCs w:val="44"/>
    </w:rPr>
  </w:style>
  <w:style w:type="paragraph" w:styleId="3">
    <w:name w:val="heading 2"/>
    <w:basedOn w:val="1"/>
    <w:next w:val="1"/>
    <w:link w:val="19"/>
    <w:unhideWhenUsed/>
    <w:qFormat/>
    <w:uiPriority w:val="9"/>
    <w:pPr>
      <w:keepNext/>
      <w:keepLines/>
      <w:jc w:val="left"/>
      <w:outlineLvl w:val="1"/>
    </w:pPr>
    <w:rPr>
      <w:rFonts w:eastAsia="楷体_GB2312" w:asciiTheme="majorHAnsi" w:hAnsiTheme="majorHAnsi" w:cstheme="majorBidi"/>
      <w:bCs/>
      <w:szCs w:val="32"/>
    </w:rPr>
  </w:style>
  <w:style w:type="paragraph" w:styleId="4">
    <w:name w:val="heading 3"/>
    <w:basedOn w:val="1"/>
    <w:next w:val="1"/>
    <w:link w:val="22"/>
    <w:unhideWhenUsed/>
    <w:qFormat/>
    <w:uiPriority w:val="9"/>
    <w:pPr>
      <w:keepNext/>
      <w:keepLines/>
      <w:spacing w:before="260" w:after="260" w:line="416" w:lineRule="atLeast"/>
      <w:outlineLvl w:val="2"/>
    </w:pPr>
    <w:rPr>
      <w:bCs/>
      <w:szCs w:val="32"/>
    </w:rPr>
  </w:style>
  <w:style w:type="character" w:default="1" w:styleId="15">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Plain Text"/>
    <w:basedOn w:val="1"/>
    <w:link w:val="27"/>
    <w:qFormat/>
    <w:uiPriority w:val="0"/>
    <w:pPr>
      <w:spacing w:line="240" w:lineRule="auto"/>
      <w:ind w:firstLine="0" w:firstLineChars="0"/>
    </w:pPr>
    <w:rPr>
      <w:rFonts w:ascii="宋体" w:hAnsi="Courier New" w:cs="Courier New" w:eastAsiaTheme="minorEastAsia"/>
      <w:sz w:val="21"/>
      <w:szCs w:val="21"/>
    </w:rPr>
  </w:style>
  <w:style w:type="paragraph" w:styleId="6">
    <w:name w:val="Balloon Text"/>
    <w:basedOn w:val="1"/>
    <w:link w:val="25"/>
    <w:semiHidden/>
    <w:unhideWhenUsed/>
    <w:uiPriority w:val="99"/>
    <w:pPr>
      <w:spacing w:line="240" w:lineRule="auto"/>
    </w:pPr>
    <w:rPr>
      <w:sz w:val="18"/>
      <w:szCs w:val="18"/>
    </w:rPr>
  </w:style>
  <w:style w:type="paragraph" w:styleId="7">
    <w:name w:val="footer"/>
    <w:basedOn w:val="1"/>
    <w:link w:val="23"/>
    <w:unhideWhenUsed/>
    <w:uiPriority w:val="99"/>
    <w:pPr>
      <w:tabs>
        <w:tab w:val="center" w:pos="4153"/>
        <w:tab w:val="right" w:pos="8306"/>
      </w:tabs>
      <w:snapToGrid w:val="0"/>
      <w:spacing w:line="240" w:lineRule="atLeast"/>
      <w:jc w:val="left"/>
    </w:pPr>
    <w:rPr>
      <w:sz w:val="18"/>
      <w:szCs w:val="18"/>
    </w:rPr>
  </w:style>
  <w:style w:type="paragraph" w:styleId="8">
    <w:name w:val="header"/>
    <w:basedOn w:val="1"/>
    <w:link w:val="21"/>
    <w:unhideWhenUsed/>
    <w:uiPriority w:val="99"/>
    <w:pPr>
      <w:tabs>
        <w:tab w:val="center" w:pos="4153"/>
        <w:tab w:val="right" w:pos="8306"/>
      </w:tabs>
      <w:snapToGrid w:val="0"/>
      <w:spacing w:line="240" w:lineRule="atLeast"/>
      <w:jc w:val="center"/>
    </w:pPr>
    <w:rPr>
      <w:sz w:val="18"/>
      <w:szCs w:val="18"/>
    </w:rPr>
  </w:style>
  <w:style w:type="paragraph" w:styleId="9">
    <w:name w:val="toc 1"/>
    <w:basedOn w:val="1"/>
    <w:next w:val="1"/>
    <w:semiHidden/>
    <w:qFormat/>
    <w:uiPriority w:val="0"/>
    <w:pPr>
      <w:spacing w:before="120" w:after="120" w:line="240" w:lineRule="auto"/>
      <w:ind w:firstLine="0" w:firstLineChars="0"/>
      <w:jc w:val="left"/>
    </w:pPr>
    <w:rPr>
      <w:rFonts w:ascii="Times New Roman" w:hAnsi="Times New Roman" w:eastAsia="宋体" w:cs="Times New Roman"/>
      <w:b/>
      <w:bCs/>
      <w:caps/>
      <w:sz w:val="20"/>
      <w:szCs w:val="20"/>
    </w:rPr>
  </w:style>
  <w:style w:type="paragraph" w:styleId="10">
    <w:name w:val="Subtitle"/>
    <w:basedOn w:val="1"/>
    <w:next w:val="1"/>
    <w:link w:val="20"/>
    <w:qFormat/>
    <w:uiPriority w:val="11"/>
    <w:pPr>
      <w:jc w:val="left"/>
      <w:outlineLvl w:val="2"/>
    </w:pPr>
    <w:rPr>
      <w:bCs/>
      <w:kern w:val="28"/>
      <w:szCs w:val="32"/>
    </w:rPr>
  </w:style>
  <w:style w:type="paragraph" w:styleId="11">
    <w:name w:val="Normal (Web)"/>
    <w:basedOn w:val="1"/>
    <w:qFormat/>
    <w:uiPriority w:val="0"/>
    <w:pPr>
      <w:spacing w:beforeAutospacing="1" w:afterAutospacing="1" w:line="240" w:lineRule="auto"/>
      <w:ind w:firstLine="0" w:firstLineChars="0"/>
      <w:jc w:val="left"/>
    </w:pPr>
    <w:rPr>
      <w:rFonts w:ascii="Calibri" w:hAnsi="Calibri" w:eastAsia="宋体" w:cs="Times New Roman"/>
      <w:kern w:val="0"/>
      <w:sz w:val="24"/>
      <w:szCs w:val="24"/>
    </w:rPr>
  </w:style>
  <w:style w:type="paragraph" w:styleId="12">
    <w:name w:val="Title"/>
    <w:basedOn w:val="1"/>
    <w:next w:val="1"/>
    <w:link w:val="17"/>
    <w:qFormat/>
    <w:uiPriority w:val="10"/>
    <w:pPr>
      <w:ind w:firstLine="0" w:firstLineChars="0"/>
      <w:jc w:val="center"/>
    </w:pPr>
    <w:rPr>
      <w:rFonts w:eastAsia="方正小标宋简体" w:asciiTheme="majorHAnsi" w:hAnsiTheme="majorHAnsi" w:cstheme="majorBidi"/>
      <w:bCs/>
      <w:sz w:val="44"/>
      <w:szCs w:val="32"/>
    </w:rPr>
  </w:style>
  <w:style w:type="table" w:styleId="14">
    <w:name w:val="Table Grid"/>
    <w:basedOn w:val="13"/>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customStyle="1" w:styleId="17">
    <w:name w:val="标题 字符"/>
    <w:basedOn w:val="15"/>
    <w:link w:val="12"/>
    <w:qFormat/>
    <w:uiPriority w:val="10"/>
    <w:rPr>
      <w:rFonts w:eastAsia="方正小标宋简体" w:asciiTheme="majorHAnsi" w:hAnsiTheme="majorHAnsi" w:cstheme="majorBidi"/>
      <w:bCs/>
      <w:sz w:val="44"/>
      <w:szCs w:val="32"/>
    </w:rPr>
  </w:style>
  <w:style w:type="character" w:customStyle="1" w:styleId="18">
    <w:name w:val="标题 1 字符"/>
    <w:basedOn w:val="15"/>
    <w:link w:val="2"/>
    <w:qFormat/>
    <w:uiPriority w:val="9"/>
    <w:rPr>
      <w:rFonts w:eastAsia="黑体"/>
      <w:bCs/>
      <w:kern w:val="44"/>
      <w:sz w:val="32"/>
      <w:szCs w:val="44"/>
    </w:rPr>
  </w:style>
  <w:style w:type="character" w:customStyle="1" w:styleId="19">
    <w:name w:val="标题 2 字符"/>
    <w:basedOn w:val="15"/>
    <w:link w:val="3"/>
    <w:qFormat/>
    <w:uiPriority w:val="9"/>
    <w:rPr>
      <w:rFonts w:eastAsia="楷体_GB2312" w:asciiTheme="majorHAnsi" w:hAnsiTheme="majorHAnsi" w:cstheme="majorBidi"/>
      <w:bCs/>
      <w:sz w:val="32"/>
      <w:szCs w:val="32"/>
    </w:rPr>
  </w:style>
  <w:style w:type="character" w:customStyle="1" w:styleId="20">
    <w:name w:val="副标题 字符"/>
    <w:basedOn w:val="15"/>
    <w:link w:val="10"/>
    <w:qFormat/>
    <w:uiPriority w:val="11"/>
    <w:rPr>
      <w:rFonts w:eastAsia="仿宋_GB2312"/>
      <w:bCs/>
      <w:kern w:val="28"/>
      <w:sz w:val="32"/>
      <w:szCs w:val="32"/>
    </w:rPr>
  </w:style>
  <w:style w:type="character" w:customStyle="1" w:styleId="21">
    <w:name w:val="页眉 字符"/>
    <w:basedOn w:val="15"/>
    <w:link w:val="8"/>
    <w:uiPriority w:val="99"/>
    <w:rPr>
      <w:rFonts w:eastAsia="仿宋_GB2312"/>
      <w:sz w:val="18"/>
      <w:szCs w:val="18"/>
    </w:rPr>
  </w:style>
  <w:style w:type="character" w:customStyle="1" w:styleId="22">
    <w:name w:val="标题 3 字符"/>
    <w:basedOn w:val="15"/>
    <w:link w:val="4"/>
    <w:uiPriority w:val="9"/>
    <w:rPr>
      <w:rFonts w:eastAsia="仿宋_GB2312"/>
      <w:bCs/>
      <w:sz w:val="32"/>
      <w:szCs w:val="32"/>
    </w:rPr>
  </w:style>
  <w:style w:type="character" w:customStyle="1" w:styleId="23">
    <w:name w:val="页脚 字符"/>
    <w:basedOn w:val="15"/>
    <w:link w:val="7"/>
    <w:qFormat/>
    <w:uiPriority w:val="99"/>
    <w:rPr>
      <w:rFonts w:eastAsia="仿宋_GB2312"/>
      <w:sz w:val="18"/>
      <w:szCs w:val="18"/>
    </w:rPr>
  </w:style>
  <w:style w:type="paragraph" w:styleId="24">
    <w:name w:val="List Paragraph"/>
    <w:basedOn w:val="1"/>
    <w:qFormat/>
    <w:uiPriority w:val="34"/>
    <w:pPr>
      <w:spacing w:line="240" w:lineRule="auto"/>
      <w:ind w:firstLine="420"/>
    </w:pPr>
    <w:rPr>
      <w:rFonts w:eastAsiaTheme="minorEastAsia"/>
      <w:sz w:val="21"/>
    </w:rPr>
  </w:style>
  <w:style w:type="character" w:customStyle="1" w:styleId="25">
    <w:name w:val="批注框文本 字符"/>
    <w:basedOn w:val="15"/>
    <w:link w:val="6"/>
    <w:semiHidden/>
    <w:uiPriority w:val="99"/>
    <w:rPr>
      <w:rFonts w:eastAsia="仿宋_GB2312"/>
      <w:kern w:val="2"/>
      <w:sz w:val="18"/>
      <w:szCs w:val="18"/>
    </w:rPr>
  </w:style>
  <w:style w:type="paragraph" w:customStyle="1" w:styleId="26">
    <w:name w:val="Table Paragraph"/>
    <w:basedOn w:val="1"/>
    <w:qFormat/>
    <w:uiPriority w:val="1"/>
    <w:pPr>
      <w:spacing w:line="240" w:lineRule="auto"/>
      <w:ind w:firstLine="0" w:firstLineChars="0"/>
    </w:pPr>
    <w:rPr>
      <w:rFonts w:ascii="宋体" w:hAnsi="宋体" w:eastAsia="宋体" w:cs="宋体"/>
      <w:color w:val="000000"/>
      <w:sz w:val="21"/>
      <w:szCs w:val="21"/>
      <w:lang w:val="zh-CN" w:bidi="zh-CN"/>
    </w:rPr>
  </w:style>
  <w:style w:type="character" w:customStyle="1" w:styleId="27">
    <w:name w:val="纯文本 字符"/>
    <w:basedOn w:val="15"/>
    <w:link w:val="5"/>
    <w:qFormat/>
    <w:uiPriority w:val="0"/>
    <w:rPr>
      <w:rFonts w:ascii="宋体" w:hAnsi="Courier New" w:cs="Courier New"/>
      <w:kern w:val="2"/>
      <w:sz w:val="21"/>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3.jpeg"/><Relationship Id="rId33" Type="http://schemas.openxmlformats.org/officeDocument/2006/relationships/image" Target="media/image22.jpe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jpe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5E318B-5B68-4F85-A1B3-FB5FDB31AD06}">
  <ds:schemaRefs/>
</ds:datastoreItem>
</file>

<file path=docProps/app.xml><?xml version="1.0" encoding="utf-8"?>
<Properties xmlns="http://schemas.openxmlformats.org/officeDocument/2006/extended-properties" xmlns:vt="http://schemas.openxmlformats.org/officeDocument/2006/docPropsVTypes">
  <Template>Normal.dotm</Template>
  <Pages>26</Pages>
  <Words>7297</Words>
  <Characters>7344</Characters>
  <Lines>84</Lines>
  <Paragraphs>23</Paragraphs>
  <TotalTime>965</TotalTime>
  <ScaleCrop>false</ScaleCrop>
  <LinksUpToDate>false</LinksUpToDate>
  <CharactersWithSpaces>7535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2021-07-13T07:33:00Z</dcterms:created>
  <dc:creator>康乃馨</dc:creator>
  <cp:lastModifiedBy>Administrator</cp:lastModifiedBy>
  <dcterms:modified xsi:type="dcterms:W3CDTF">2025-01-12T05:55:10Z</dcterms:modified>
  <cp:revision>263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B9C671069AC645E4A35508DF6EC0BDCA_12</vt:lpwstr>
  </property>
  <property fmtid="{D5CDD505-2E9C-101B-9397-08002B2CF9AE}" pid="4" name="KSOTemplateDocerSaveRecord">
    <vt:lpwstr>eyJoZGlkIjoiMDQ0ZDE5MTU0MDc3MDVlOWI4ZmU5NjE3NzkzZTE2ZDgifQ==</vt:lpwstr>
  </property>
</Properties>
</file>